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1A7E" w:rsidRPr="00CC0220" w:rsidRDefault="00791A7E" w:rsidP="00791A7E">
      <w:pPr>
        <w:spacing w:after="0"/>
        <w:rPr>
          <w:rFonts w:ascii="Arial" w:hAnsi="Arial"/>
          <w:b/>
          <w:noProof/>
          <w:sz w:val="24"/>
        </w:rPr>
      </w:pPr>
      <w:r w:rsidRPr="00791A7E">
        <w:rPr>
          <w:rFonts w:ascii="Arial" w:hAnsi="Arial"/>
          <w:b/>
          <w:noProof/>
          <w:sz w:val="24"/>
        </w:rPr>
        <w:t>3GPP TSG-RAN WG2 Meeting #99</w:t>
      </w:r>
      <w:r w:rsidRPr="00791A7E">
        <w:rPr>
          <w:rFonts w:ascii="Arial" w:hAnsi="Arial"/>
          <w:b/>
          <w:noProof/>
          <w:sz w:val="24"/>
        </w:rPr>
        <w:tab/>
      </w:r>
      <w:r>
        <w:rPr>
          <w:rFonts w:ascii="Arial" w:hAnsi="Arial"/>
          <w:b/>
          <w:noProof/>
          <w:sz w:val="24"/>
        </w:rPr>
        <w:tab/>
      </w:r>
      <w:r>
        <w:rPr>
          <w:rFonts w:ascii="Arial" w:hAnsi="Arial"/>
          <w:b/>
          <w:noProof/>
          <w:sz w:val="24"/>
        </w:rPr>
        <w:tab/>
        <w:t xml:space="preserve">          </w:t>
      </w:r>
      <w:r>
        <w:rPr>
          <w:rFonts w:ascii="Arial" w:hAnsi="Arial"/>
          <w:b/>
          <w:noProof/>
          <w:sz w:val="24"/>
        </w:rPr>
        <w:tab/>
      </w:r>
      <w:r>
        <w:rPr>
          <w:rFonts w:ascii="Arial" w:hAnsi="Arial"/>
          <w:b/>
          <w:noProof/>
          <w:sz w:val="24"/>
        </w:rPr>
        <w:tab/>
      </w:r>
      <w:r>
        <w:rPr>
          <w:rFonts w:ascii="Arial" w:hAnsi="Arial"/>
          <w:b/>
          <w:noProof/>
          <w:sz w:val="24"/>
        </w:rPr>
        <w:tab/>
      </w:r>
      <w:r w:rsidR="00B14927" w:rsidRPr="00CC0220">
        <w:rPr>
          <w:rFonts w:ascii="Arial" w:hAnsi="Arial" w:cs="Arial"/>
          <w:b/>
          <w:bCs/>
          <w:sz w:val="26"/>
          <w:szCs w:val="26"/>
        </w:rPr>
        <w:t>R2-1708005</w:t>
      </w:r>
    </w:p>
    <w:p w:rsidR="00791A7E" w:rsidRPr="00791A7E" w:rsidRDefault="00791A7E" w:rsidP="00791A7E">
      <w:pPr>
        <w:spacing w:after="0"/>
        <w:rPr>
          <w:rFonts w:ascii="Arial" w:hAnsi="Arial"/>
          <w:b/>
          <w:noProof/>
          <w:sz w:val="24"/>
        </w:rPr>
      </w:pPr>
      <w:r w:rsidRPr="00791A7E">
        <w:rPr>
          <w:rFonts w:ascii="Arial" w:hAnsi="Arial"/>
          <w:b/>
          <w:noProof/>
          <w:sz w:val="24"/>
        </w:rPr>
        <w:t>Berlin, Germany, 21st – 25th August 2017</w:t>
      </w:r>
    </w:p>
    <w:p w:rsidR="00791A7E" w:rsidRPr="00D33672" w:rsidRDefault="00791A7E" w:rsidP="00D33672">
      <w:pPr>
        <w:pStyle w:val="CRCoverPage"/>
        <w:tabs>
          <w:tab w:val="right" w:pos="9639"/>
        </w:tabs>
        <w:spacing w:after="0"/>
        <w:rPr>
          <w:b/>
          <w:noProof/>
          <w:sz w:val="24"/>
        </w:rPr>
      </w:pPr>
    </w:p>
    <w:p w:rsidR="008D5D73" w:rsidRDefault="008D5D73" w:rsidP="008D5D73">
      <w:pPr>
        <w:pStyle w:val="CRCoverPage"/>
        <w:outlineLvl w:val="0"/>
        <w:rPr>
          <w:b/>
          <w:noProof/>
          <w:sz w:val="24"/>
          <w:lang w:eastAsia="ja-JP"/>
        </w:rPr>
      </w:pPr>
      <w:r>
        <w:rPr>
          <w:b/>
          <w:noProof/>
          <w:sz w:val="24"/>
          <w:lang w:eastAsia="ja-JP"/>
        </w:rPr>
        <w:tab/>
      </w:r>
      <w:r>
        <w:rPr>
          <w:b/>
          <w:noProof/>
          <w:sz w:val="24"/>
          <w:lang w:eastAsia="ja-JP"/>
        </w:rPr>
        <w:tab/>
      </w:r>
      <w:r>
        <w:rPr>
          <w:b/>
          <w:noProof/>
          <w:sz w:val="24"/>
          <w:lang w:eastAsia="ja-JP"/>
        </w:rPr>
        <w:tab/>
      </w:r>
      <w:r>
        <w:rPr>
          <w:b/>
          <w:noProof/>
          <w:sz w:val="24"/>
          <w:lang w:eastAsia="ja-JP"/>
        </w:rPr>
        <w:tab/>
      </w:r>
      <w:r>
        <w:rPr>
          <w:b/>
          <w:noProof/>
          <w:sz w:val="24"/>
          <w:lang w:eastAsia="ja-JP"/>
        </w:rPr>
        <w:tab/>
        <w:t xml:space="preserve">   </w:t>
      </w:r>
    </w:p>
    <w:p w:rsidR="008D5D73" w:rsidRDefault="008D5D73" w:rsidP="008D5D73">
      <w:pPr>
        <w:pStyle w:val="CRCoverPage"/>
        <w:ind w:left="1988" w:hanging="1988"/>
        <w:rPr>
          <w:b/>
          <w:noProof/>
          <w:sz w:val="24"/>
        </w:rPr>
      </w:pPr>
      <w:r>
        <w:rPr>
          <w:b/>
          <w:noProof/>
          <w:sz w:val="24"/>
        </w:rPr>
        <w:t>Agenda Item:</w:t>
      </w:r>
      <w:r>
        <w:rPr>
          <w:b/>
          <w:noProof/>
          <w:sz w:val="24"/>
        </w:rPr>
        <w:tab/>
      </w:r>
      <w:r w:rsidR="00675C83">
        <w:rPr>
          <w:b/>
          <w:noProof/>
          <w:sz w:val="24"/>
        </w:rPr>
        <w:t>10.4.1.4.3</w:t>
      </w:r>
      <w:bookmarkStart w:id="0" w:name="_GoBack"/>
      <w:bookmarkEnd w:id="0"/>
    </w:p>
    <w:p w:rsidR="008D5D73" w:rsidRPr="009A6513" w:rsidRDefault="008D5D73" w:rsidP="008D5D73">
      <w:pPr>
        <w:pStyle w:val="CRCoverPage"/>
        <w:ind w:left="1988" w:hanging="1988"/>
        <w:rPr>
          <w:b/>
          <w:noProof/>
          <w:sz w:val="24"/>
        </w:rPr>
      </w:pPr>
      <w:r>
        <w:rPr>
          <w:b/>
          <w:noProof/>
          <w:sz w:val="24"/>
        </w:rPr>
        <w:t>Source:</w:t>
      </w:r>
      <w:r>
        <w:rPr>
          <w:b/>
          <w:noProof/>
          <w:sz w:val="24"/>
        </w:rPr>
        <w:tab/>
        <w:t>MediaTek Inc.</w:t>
      </w:r>
    </w:p>
    <w:p w:rsidR="008D5D73" w:rsidRPr="00C93A3C" w:rsidRDefault="008D5D73" w:rsidP="008D5D73">
      <w:pPr>
        <w:pStyle w:val="CRCoverPage"/>
        <w:ind w:left="1988" w:hanging="1988"/>
        <w:rPr>
          <w:b/>
          <w:noProof/>
          <w:sz w:val="24"/>
        </w:rPr>
      </w:pPr>
      <w:r>
        <w:rPr>
          <w:b/>
          <w:noProof/>
          <w:sz w:val="24"/>
        </w:rPr>
        <w:t>Title:</w:t>
      </w:r>
      <w:r>
        <w:rPr>
          <w:b/>
          <w:noProof/>
          <w:sz w:val="24"/>
        </w:rPr>
        <w:tab/>
      </w:r>
      <w:bookmarkStart w:id="1" w:name="OLE_LINK1"/>
      <w:bookmarkStart w:id="2" w:name="OLE_LINK2"/>
      <w:r w:rsidR="000E74AD">
        <w:rPr>
          <w:b/>
          <w:noProof/>
          <w:sz w:val="24"/>
        </w:rPr>
        <w:t>Measurement Configuration with NR-SS and CSI-RS</w:t>
      </w:r>
    </w:p>
    <w:bookmarkEnd w:id="1"/>
    <w:bookmarkEnd w:id="2"/>
    <w:p w:rsidR="008D5D73" w:rsidRPr="00E15E7F" w:rsidRDefault="008D5D73" w:rsidP="008D5D73">
      <w:pPr>
        <w:pStyle w:val="CRCoverPage"/>
        <w:rPr>
          <w:b/>
          <w:noProof/>
          <w:sz w:val="24"/>
        </w:rPr>
      </w:pPr>
      <w:r>
        <w:rPr>
          <w:b/>
          <w:noProof/>
          <w:sz w:val="24"/>
        </w:rPr>
        <w:t>Document for:     Discussion and decision</w:t>
      </w:r>
    </w:p>
    <w:p w:rsidR="008D5D73" w:rsidRDefault="008D5D73" w:rsidP="008D5D73">
      <w:pPr>
        <w:pStyle w:val="Heading1"/>
        <w:rPr>
          <w:lang w:val="en-US" w:eastAsia="ko-KR"/>
        </w:rPr>
      </w:pPr>
      <w:r>
        <w:rPr>
          <w:lang w:val="en-US" w:eastAsia="ko-KR"/>
        </w:rPr>
        <w:t xml:space="preserve">1 </w:t>
      </w:r>
      <w:r w:rsidRPr="009D35B3">
        <w:rPr>
          <w:lang w:val="en-US" w:eastAsia="ko-KR"/>
        </w:rPr>
        <w:t>Introduction</w:t>
      </w:r>
    </w:p>
    <w:p w:rsidR="00667B08" w:rsidRDefault="000104C3" w:rsidP="00326AF7">
      <w:pPr>
        <w:spacing w:before="120" w:after="120"/>
        <w:jc w:val="both"/>
        <w:rPr>
          <w:sz w:val="22"/>
          <w:szCs w:val="22"/>
        </w:rPr>
      </w:pPr>
      <w:r>
        <w:rPr>
          <w:sz w:val="22"/>
          <w:szCs w:val="22"/>
        </w:rPr>
        <w:t xml:space="preserve">During RAN2 NR Adhoc#2 meeting, measurement object configuration was discussion with following agreements. </w:t>
      </w:r>
    </w:p>
    <w:p w:rsidR="000104C3" w:rsidRDefault="000104C3" w:rsidP="000104C3">
      <w:pPr>
        <w:pStyle w:val="Doc-text2"/>
        <w:pBdr>
          <w:top w:val="single" w:sz="4" w:space="1" w:color="auto"/>
          <w:left w:val="single" w:sz="4" w:space="4" w:color="auto"/>
          <w:bottom w:val="single" w:sz="4" w:space="1" w:color="auto"/>
          <w:right w:val="single" w:sz="4" w:space="4" w:color="auto"/>
        </w:pBdr>
        <w:ind w:left="363"/>
      </w:pPr>
      <w:r>
        <w:t>Agreements</w:t>
      </w:r>
    </w:p>
    <w:p w:rsidR="000104C3" w:rsidRDefault="000104C3" w:rsidP="000104C3">
      <w:pPr>
        <w:pStyle w:val="Doc-text2"/>
        <w:pBdr>
          <w:top w:val="single" w:sz="4" w:space="1" w:color="auto"/>
          <w:left w:val="single" w:sz="4" w:space="4" w:color="auto"/>
          <w:bottom w:val="single" w:sz="4" w:space="1" w:color="auto"/>
          <w:right w:val="single" w:sz="4" w:space="4" w:color="auto"/>
        </w:pBdr>
        <w:ind w:left="363"/>
      </w:pPr>
      <w:r>
        <w:t xml:space="preserve">1: </w:t>
      </w:r>
      <w:r>
        <w:tab/>
        <w:t>In NR,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w:t>
      </w:r>
    </w:p>
    <w:p w:rsidR="000104C3" w:rsidRDefault="000104C3" w:rsidP="000104C3">
      <w:pPr>
        <w:pStyle w:val="Doc-text2"/>
        <w:pBdr>
          <w:top w:val="single" w:sz="4" w:space="1" w:color="auto"/>
          <w:left w:val="single" w:sz="4" w:space="4" w:color="auto"/>
          <w:bottom w:val="single" w:sz="4" w:space="1" w:color="auto"/>
          <w:right w:val="single" w:sz="4" w:space="4" w:color="auto"/>
        </w:pBdr>
        <w:ind w:left="363"/>
      </w:pPr>
      <w:r>
        <w:t>2:</w:t>
      </w:r>
      <w:r>
        <w:tab/>
        <w:t xml:space="preserve">In NR, a list of 'blacklisted' cells can be configured as part of the measurement object. </w:t>
      </w:r>
    </w:p>
    <w:p w:rsidR="000104C3" w:rsidRDefault="000104C3" w:rsidP="000104C3">
      <w:pPr>
        <w:pStyle w:val="Doc-text2"/>
        <w:pBdr>
          <w:top w:val="single" w:sz="4" w:space="1" w:color="auto"/>
          <w:left w:val="single" w:sz="4" w:space="4" w:color="auto"/>
          <w:bottom w:val="single" w:sz="4" w:space="1" w:color="auto"/>
          <w:right w:val="single" w:sz="4" w:space="4" w:color="auto"/>
        </w:pBdr>
        <w:ind w:left="363"/>
      </w:pPr>
      <w:r>
        <w:t>3</w:t>
      </w:r>
      <w:r>
        <w:tab/>
        <w:t>A</w:t>
      </w:r>
      <w:r w:rsidRPr="00C130F0">
        <w:t xml:space="preserve"> list of 'whitelisted' cells</w:t>
      </w:r>
      <w:r>
        <w:t xml:space="preserve"> can be configured as in LTE</w:t>
      </w:r>
    </w:p>
    <w:p w:rsidR="000104C3" w:rsidRDefault="000104C3" w:rsidP="000104C3">
      <w:pPr>
        <w:pStyle w:val="Doc-text2"/>
        <w:pBdr>
          <w:top w:val="single" w:sz="4" w:space="1" w:color="auto"/>
          <w:left w:val="single" w:sz="4" w:space="4" w:color="auto"/>
          <w:bottom w:val="single" w:sz="4" w:space="1" w:color="auto"/>
          <w:right w:val="single" w:sz="4" w:space="4" w:color="auto"/>
        </w:pBdr>
        <w:ind w:left="363"/>
      </w:pPr>
      <w:r>
        <w:t>FFS Whether the whitelisted cells are part of the measurement object as in LTE or moved to some other part of the measurement configuration.</w:t>
      </w:r>
    </w:p>
    <w:p w:rsidR="000104C3" w:rsidRDefault="000104C3" w:rsidP="000104C3">
      <w:pPr>
        <w:pStyle w:val="Doc-text2"/>
        <w:pBdr>
          <w:top w:val="single" w:sz="4" w:space="1" w:color="auto"/>
          <w:left w:val="single" w:sz="4" w:space="4" w:color="auto"/>
          <w:bottom w:val="single" w:sz="4" w:space="1" w:color="auto"/>
          <w:right w:val="single" w:sz="4" w:space="4" w:color="auto"/>
        </w:pBdr>
        <w:ind w:left="363"/>
      </w:pPr>
      <w:r>
        <w:t>4</w:t>
      </w:r>
      <w:r>
        <w:tab/>
        <w:t xml:space="preserve">For NR-SS based RRM measurement, SS burst set periodicities can be configured. </w:t>
      </w:r>
    </w:p>
    <w:p w:rsidR="000104C3" w:rsidRDefault="00667C4F" w:rsidP="000104C3">
      <w:pPr>
        <w:pStyle w:val="Doc-text2"/>
        <w:pBdr>
          <w:top w:val="single" w:sz="4" w:space="1" w:color="auto"/>
          <w:left w:val="single" w:sz="4" w:space="4" w:color="auto"/>
          <w:bottom w:val="single" w:sz="4" w:space="1" w:color="auto"/>
          <w:right w:val="single" w:sz="4" w:space="4" w:color="auto"/>
        </w:pBdr>
        <w:ind w:left="363"/>
      </w:pPr>
      <w:r>
        <w:t xml:space="preserve">FFS </w:t>
      </w:r>
      <w:r w:rsidR="000104C3">
        <w:t>Maximum number of possible periodicities (1 or more) per carrier. To be concluded after considering LS from RAN1.</w:t>
      </w:r>
    </w:p>
    <w:p w:rsidR="000104C3" w:rsidRDefault="000104C3" w:rsidP="000104C3">
      <w:pPr>
        <w:pStyle w:val="Doc-text2"/>
        <w:pBdr>
          <w:top w:val="single" w:sz="4" w:space="1" w:color="auto"/>
          <w:left w:val="single" w:sz="4" w:space="4" w:color="auto"/>
          <w:bottom w:val="single" w:sz="4" w:space="1" w:color="auto"/>
          <w:right w:val="single" w:sz="4" w:space="4" w:color="auto"/>
        </w:pBdr>
        <w:ind w:left="363"/>
      </w:pPr>
      <w:r>
        <w:t xml:space="preserve">5: NR-SS configuration for CONNECTED UE can be provided by dedicated signalling. </w:t>
      </w:r>
    </w:p>
    <w:p w:rsidR="000104C3" w:rsidRDefault="000104C3" w:rsidP="000104C3">
      <w:pPr>
        <w:pStyle w:val="Doc-text2"/>
        <w:pBdr>
          <w:top w:val="single" w:sz="4" w:space="1" w:color="auto"/>
          <w:left w:val="single" w:sz="4" w:space="4" w:color="auto"/>
          <w:bottom w:val="single" w:sz="4" w:space="1" w:color="auto"/>
          <w:right w:val="single" w:sz="4" w:space="4" w:color="auto"/>
        </w:pBdr>
        <w:ind w:left="363"/>
      </w:pPr>
      <w:r>
        <w:t xml:space="preserve">6: CSI-RS measurement configuration is provided via dedicated signalling. </w:t>
      </w:r>
    </w:p>
    <w:p w:rsidR="000104C3" w:rsidRDefault="000104C3" w:rsidP="00326AF7">
      <w:pPr>
        <w:spacing w:before="120" w:after="120"/>
        <w:jc w:val="both"/>
        <w:rPr>
          <w:sz w:val="22"/>
          <w:szCs w:val="22"/>
        </w:rPr>
      </w:pPr>
      <w:r>
        <w:rPr>
          <w:sz w:val="22"/>
          <w:szCs w:val="22"/>
        </w:rPr>
        <w:t xml:space="preserve">Following agreements were reached for </w:t>
      </w:r>
      <w:r w:rsidR="00BD0E62">
        <w:rPr>
          <w:sz w:val="22"/>
          <w:szCs w:val="22"/>
        </w:rPr>
        <w:t xml:space="preserve">measurement report contents. </w:t>
      </w:r>
    </w:p>
    <w:p w:rsidR="00BD0E62" w:rsidRDefault="00BD0E62" w:rsidP="00BD0E62">
      <w:pPr>
        <w:pStyle w:val="Doc-text2"/>
        <w:pBdr>
          <w:top w:val="single" w:sz="4" w:space="1" w:color="auto"/>
          <w:left w:val="single" w:sz="4" w:space="4" w:color="auto"/>
          <w:bottom w:val="single" w:sz="4" w:space="1" w:color="auto"/>
          <w:right w:val="single" w:sz="4" w:space="4" w:color="auto"/>
        </w:pBdr>
        <w:ind w:left="363"/>
      </w:pPr>
      <w:r>
        <w:t>Agreements</w:t>
      </w:r>
    </w:p>
    <w:p w:rsidR="00BD0E62" w:rsidRDefault="00BD0E62" w:rsidP="00BD0E62">
      <w:pPr>
        <w:pStyle w:val="Doc-text2"/>
        <w:pBdr>
          <w:top w:val="single" w:sz="4" w:space="1" w:color="auto"/>
          <w:left w:val="single" w:sz="4" w:space="4" w:color="auto"/>
          <w:bottom w:val="single" w:sz="4" w:space="1" w:color="auto"/>
          <w:right w:val="single" w:sz="4" w:space="4" w:color="auto"/>
        </w:pBdr>
        <w:ind w:left="363"/>
      </w:pPr>
      <w:r>
        <w:t>1:</w:t>
      </w:r>
      <w:r>
        <w:tab/>
        <w:t xml:space="preserve">Measurement report includes the measurement identity of the associated measurement configuration that triggered the reporting </w:t>
      </w:r>
    </w:p>
    <w:p w:rsidR="00BD0E62" w:rsidRDefault="00BD0E62" w:rsidP="00BD0E62">
      <w:pPr>
        <w:pStyle w:val="Doc-text2"/>
        <w:pBdr>
          <w:top w:val="single" w:sz="4" w:space="1" w:color="auto"/>
          <w:left w:val="single" w:sz="4" w:space="4" w:color="auto"/>
          <w:bottom w:val="single" w:sz="4" w:space="1" w:color="auto"/>
          <w:right w:val="single" w:sz="4" w:space="4" w:color="auto"/>
        </w:pBdr>
        <w:ind w:left="363"/>
      </w:pPr>
      <w:r>
        <w:t>2: Cell measurement quantities can be included in the measurement report. RAN1 to confirm the cell measurement quantities to be supported.</w:t>
      </w:r>
    </w:p>
    <w:p w:rsidR="00BD0E62" w:rsidRDefault="00BD0E62" w:rsidP="00BD0E62">
      <w:pPr>
        <w:pStyle w:val="Doc-text2"/>
        <w:pBdr>
          <w:top w:val="single" w:sz="4" w:space="1" w:color="auto"/>
          <w:left w:val="single" w:sz="4" w:space="4" w:color="auto"/>
          <w:bottom w:val="single" w:sz="4" w:space="1" w:color="auto"/>
          <w:right w:val="single" w:sz="4" w:space="4" w:color="auto"/>
        </w:pBdr>
        <w:ind w:left="363"/>
      </w:pPr>
      <w:r>
        <w:t>3: The cell measurement quantities to be included in the measurement report are configurable by the network</w:t>
      </w:r>
    </w:p>
    <w:p w:rsidR="00BD0E62" w:rsidRDefault="00BD0E62" w:rsidP="00BD0E62">
      <w:pPr>
        <w:pStyle w:val="Doc-text2"/>
        <w:pBdr>
          <w:top w:val="single" w:sz="4" w:space="1" w:color="auto"/>
          <w:left w:val="single" w:sz="4" w:space="4" w:color="auto"/>
          <w:bottom w:val="single" w:sz="4" w:space="1" w:color="auto"/>
          <w:right w:val="single" w:sz="4" w:space="4" w:color="auto"/>
        </w:pBdr>
        <w:ind w:left="363"/>
      </w:pPr>
      <w:r>
        <w:t xml:space="preserve">4: maxReportCells is supported to indicate the maximum number of non serving cells to be reported by the UE (as in LTE) </w:t>
      </w:r>
    </w:p>
    <w:p w:rsidR="00BD0E62" w:rsidRDefault="00BD0E62" w:rsidP="00BD0E62">
      <w:pPr>
        <w:pStyle w:val="Doc-text2"/>
        <w:pBdr>
          <w:top w:val="single" w:sz="4" w:space="1" w:color="auto"/>
          <w:left w:val="single" w:sz="4" w:space="4" w:color="auto"/>
          <w:bottom w:val="single" w:sz="4" w:space="1" w:color="auto"/>
          <w:right w:val="single" w:sz="4" w:space="4" w:color="auto"/>
        </w:pBdr>
        <w:ind w:left="363"/>
      </w:pPr>
      <w:r>
        <w:t>5: For event triggered reporting:</w:t>
      </w:r>
    </w:p>
    <w:p w:rsidR="00BD0E62" w:rsidRDefault="00BD0E62" w:rsidP="00BD0E62">
      <w:pPr>
        <w:pStyle w:val="Doc-text2"/>
        <w:pBdr>
          <w:top w:val="single" w:sz="4" w:space="1" w:color="auto"/>
          <w:left w:val="single" w:sz="4" w:space="4" w:color="auto"/>
          <w:bottom w:val="single" w:sz="4" w:space="1" w:color="auto"/>
          <w:right w:val="single" w:sz="4" w:space="4" w:color="auto"/>
        </w:pBdr>
        <w:ind w:left="363"/>
      </w:pPr>
      <w:r>
        <w:t>•</w:t>
      </w:r>
      <w:r>
        <w:tab/>
        <w:t>PCell and SCells cell quality are always included in the measurement report</w:t>
      </w:r>
    </w:p>
    <w:p w:rsidR="00BD0E62" w:rsidRDefault="00BD0E62" w:rsidP="00BD0E62">
      <w:pPr>
        <w:pStyle w:val="Doc-text2"/>
        <w:pBdr>
          <w:top w:val="single" w:sz="4" w:space="1" w:color="auto"/>
          <w:left w:val="single" w:sz="4" w:space="4" w:color="auto"/>
          <w:bottom w:val="single" w:sz="4" w:space="1" w:color="auto"/>
          <w:right w:val="single" w:sz="4" w:space="4" w:color="auto"/>
        </w:pBdr>
        <w:ind w:left="363"/>
      </w:pPr>
      <w:r>
        <w:t>•</w:t>
      </w:r>
      <w:r>
        <w:tab/>
        <w:t>Include cells in the cellsTriggeredList in the measurement report (same as LTE)</w:t>
      </w:r>
    </w:p>
    <w:p w:rsidR="00BD0E62" w:rsidRDefault="00BD0E62" w:rsidP="00BD0E62">
      <w:pPr>
        <w:pStyle w:val="Doc-text2"/>
        <w:pBdr>
          <w:top w:val="single" w:sz="4" w:space="1" w:color="auto"/>
          <w:left w:val="single" w:sz="4" w:space="4" w:color="auto"/>
          <w:bottom w:val="single" w:sz="4" w:space="1" w:color="auto"/>
          <w:right w:val="single" w:sz="4" w:space="4" w:color="auto"/>
        </w:pBdr>
        <w:ind w:left="363"/>
      </w:pPr>
      <w:r>
        <w:t>FFS cells to be included according to cellsTrigeredList to be clarified</w:t>
      </w:r>
    </w:p>
    <w:p w:rsidR="00BD0E62" w:rsidRDefault="00BD0E62" w:rsidP="00BD0E62">
      <w:pPr>
        <w:pStyle w:val="Doc-text2"/>
        <w:pBdr>
          <w:top w:val="single" w:sz="4" w:space="1" w:color="auto"/>
          <w:left w:val="single" w:sz="4" w:space="4" w:color="auto"/>
          <w:bottom w:val="single" w:sz="4" w:space="1" w:color="auto"/>
          <w:right w:val="single" w:sz="4" w:space="4" w:color="auto"/>
        </w:pBdr>
        <w:ind w:left="363"/>
      </w:pPr>
      <w:r>
        <w:t>6</w:t>
      </w:r>
      <w:r>
        <w:tab/>
        <w:t>Blacklisted cells, if provided, are not used in event evaluation and reporting (as in LTE)</w:t>
      </w:r>
    </w:p>
    <w:p w:rsidR="00BD0E62" w:rsidRDefault="00BD0E62" w:rsidP="00BD0E62">
      <w:pPr>
        <w:pStyle w:val="Doc-text2"/>
        <w:pBdr>
          <w:top w:val="single" w:sz="4" w:space="1" w:color="auto"/>
          <w:left w:val="single" w:sz="4" w:space="4" w:color="auto"/>
          <w:bottom w:val="single" w:sz="4" w:space="1" w:color="auto"/>
          <w:right w:val="single" w:sz="4" w:space="4" w:color="auto"/>
        </w:pBdr>
        <w:ind w:left="363"/>
      </w:pPr>
      <w:r>
        <w:t>7</w:t>
      </w:r>
      <w:r>
        <w:tab/>
        <w:t xml:space="preserve">If whitelisted cells are provided, only whitelisted cells are </w:t>
      </w:r>
      <w:r w:rsidRPr="00D66C43">
        <w:t>used in event evaluation and repor</w:t>
      </w:r>
      <w:r>
        <w:t xml:space="preserve">ting </w:t>
      </w:r>
      <w:r w:rsidRPr="00D66C43">
        <w:t>(as in LTE)</w:t>
      </w:r>
    </w:p>
    <w:p w:rsidR="00BD0E62" w:rsidRPr="00C4774B" w:rsidRDefault="00BD0E62" w:rsidP="00BD0E62">
      <w:pPr>
        <w:pStyle w:val="Doc-text2"/>
        <w:pBdr>
          <w:top w:val="single" w:sz="4" w:space="1" w:color="auto"/>
          <w:left w:val="single" w:sz="4" w:space="4" w:color="auto"/>
          <w:bottom w:val="single" w:sz="4" w:space="1" w:color="auto"/>
          <w:right w:val="single" w:sz="4" w:space="4" w:color="auto"/>
        </w:pBdr>
        <w:ind w:left="363"/>
      </w:pPr>
      <w:r>
        <w:t>8</w:t>
      </w:r>
      <w:r>
        <w:tab/>
      </w:r>
      <w:r w:rsidRPr="00C4774B">
        <w:t>Beam measurement (based on NR-SS and CSI-RS) can be included in the measurement report and can be configured by the network (i.e. network configures the UE to report beam identifier only, beam measurement result and identifier, or no beam reporting)</w:t>
      </w:r>
    </w:p>
    <w:p w:rsidR="00BD0E62" w:rsidRDefault="00BD0E62" w:rsidP="00BD0E62">
      <w:pPr>
        <w:pStyle w:val="Doc-text2"/>
        <w:pBdr>
          <w:top w:val="single" w:sz="4" w:space="1" w:color="auto"/>
          <w:left w:val="single" w:sz="4" w:space="4" w:color="auto"/>
          <w:bottom w:val="single" w:sz="4" w:space="1" w:color="auto"/>
          <w:right w:val="single" w:sz="4" w:space="4" w:color="auto"/>
        </w:pBdr>
        <w:ind w:left="363"/>
      </w:pPr>
      <w:r w:rsidRPr="00C4774B">
        <w:t xml:space="preserve">9: </w:t>
      </w:r>
      <w:r w:rsidRPr="00C4774B">
        <w:tab/>
        <w:t>Measurement quantities can be configured by the network for beam measurement reporting. RAN1 to confirm the measurement quantities to be supported.</w:t>
      </w:r>
      <w:r>
        <w:t xml:space="preserve"> </w:t>
      </w:r>
    </w:p>
    <w:p w:rsidR="00BD0E62" w:rsidRDefault="00BD0E62" w:rsidP="00BD0E62">
      <w:pPr>
        <w:pStyle w:val="Doc-text2"/>
        <w:pBdr>
          <w:top w:val="single" w:sz="4" w:space="1" w:color="auto"/>
          <w:left w:val="single" w:sz="4" w:space="4" w:color="auto"/>
          <w:bottom w:val="single" w:sz="4" w:space="1" w:color="auto"/>
          <w:right w:val="single" w:sz="4" w:space="4" w:color="auto"/>
        </w:pBdr>
        <w:ind w:left="363"/>
      </w:pPr>
      <w:r>
        <w:lastRenderedPageBreak/>
        <w:t>FFS Whether the cell and beam measurement quantities to be reported need to be consistent.</w:t>
      </w:r>
    </w:p>
    <w:p w:rsidR="00BD0E62" w:rsidRPr="00C4774B" w:rsidRDefault="00BD0E62" w:rsidP="00BD0E62">
      <w:pPr>
        <w:pStyle w:val="Doc-text2"/>
        <w:pBdr>
          <w:top w:val="single" w:sz="4" w:space="1" w:color="auto"/>
          <w:left w:val="single" w:sz="4" w:space="4" w:color="auto"/>
          <w:bottom w:val="single" w:sz="4" w:space="1" w:color="auto"/>
          <w:right w:val="single" w:sz="4" w:space="4" w:color="auto"/>
        </w:pBdr>
        <w:ind w:left="363"/>
      </w:pPr>
      <w:r w:rsidRPr="00C4774B">
        <w:t>10: For selection of x SS blocks to be included in the measurement report for each cell:</w:t>
      </w:r>
    </w:p>
    <w:p w:rsidR="00BD0E62" w:rsidRPr="00C4774B" w:rsidRDefault="00BD0E62" w:rsidP="00BD0E62">
      <w:pPr>
        <w:pStyle w:val="Doc-text2"/>
        <w:pBdr>
          <w:top w:val="single" w:sz="4" w:space="1" w:color="auto"/>
          <w:left w:val="single" w:sz="4" w:space="4" w:color="auto"/>
          <w:bottom w:val="single" w:sz="4" w:space="1" w:color="auto"/>
          <w:right w:val="single" w:sz="4" w:space="4" w:color="auto"/>
        </w:pBdr>
        <w:ind w:left="363"/>
      </w:pPr>
      <w:r w:rsidRPr="00C4774B">
        <w:t>-</w:t>
      </w:r>
      <w:r w:rsidRPr="00C4774B">
        <w:tab/>
        <w:t xml:space="preserve">x can be configured separately from N (N used in cell quality derivation) </w:t>
      </w:r>
    </w:p>
    <w:p w:rsidR="00BD0E62" w:rsidRPr="00C4774B" w:rsidRDefault="00BD0E62" w:rsidP="00BD0E62">
      <w:pPr>
        <w:pStyle w:val="Doc-text2"/>
        <w:pBdr>
          <w:top w:val="single" w:sz="4" w:space="1" w:color="auto"/>
          <w:left w:val="single" w:sz="4" w:space="4" w:color="auto"/>
          <w:bottom w:val="single" w:sz="4" w:space="1" w:color="auto"/>
          <w:right w:val="single" w:sz="4" w:space="4" w:color="auto"/>
        </w:pBdr>
        <w:ind w:left="363"/>
      </w:pPr>
      <w:r w:rsidRPr="00C4774B">
        <w:t>FFS how to select the up to x SS blocks to be included</w:t>
      </w:r>
    </w:p>
    <w:p w:rsidR="00BD0E62" w:rsidRPr="00C4774B" w:rsidRDefault="00BD0E62" w:rsidP="00BD0E62">
      <w:pPr>
        <w:pStyle w:val="Doc-text2"/>
        <w:pBdr>
          <w:top w:val="single" w:sz="4" w:space="1" w:color="auto"/>
          <w:left w:val="single" w:sz="4" w:space="4" w:color="auto"/>
          <w:bottom w:val="single" w:sz="4" w:space="1" w:color="auto"/>
          <w:right w:val="single" w:sz="4" w:space="4" w:color="auto"/>
        </w:pBdr>
        <w:ind w:left="363"/>
      </w:pPr>
      <w:r w:rsidRPr="00C4774B">
        <w:t>11: For cell events (A1 to A6 events), selection of y CSI-RS resource to be included in the measurement report for each cell:</w:t>
      </w:r>
    </w:p>
    <w:p w:rsidR="00BD0E62" w:rsidRDefault="00BD0E62" w:rsidP="00BD0E62">
      <w:pPr>
        <w:pStyle w:val="Doc-text2"/>
        <w:pBdr>
          <w:top w:val="single" w:sz="4" w:space="1" w:color="auto"/>
          <w:left w:val="single" w:sz="4" w:space="4" w:color="auto"/>
          <w:bottom w:val="single" w:sz="4" w:space="1" w:color="auto"/>
          <w:right w:val="single" w:sz="4" w:space="4" w:color="auto"/>
        </w:pBdr>
        <w:ind w:left="363"/>
      </w:pPr>
      <w:r w:rsidRPr="00C4774B">
        <w:t>-</w:t>
      </w:r>
      <w:r w:rsidRPr="00C4774B">
        <w:tab/>
        <w:t>y can be</w:t>
      </w:r>
      <w:r>
        <w:t xml:space="preserve"> configured separately from N (N used in cell quality derivation) </w:t>
      </w:r>
    </w:p>
    <w:p w:rsidR="00BD0E62" w:rsidRDefault="00BD0E62" w:rsidP="00BD0E62">
      <w:pPr>
        <w:pStyle w:val="Doc-text2"/>
        <w:pBdr>
          <w:top w:val="single" w:sz="4" w:space="1" w:color="auto"/>
          <w:left w:val="single" w:sz="4" w:space="4" w:color="auto"/>
          <w:bottom w:val="single" w:sz="4" w:space="1" w:color="auto"/>
          <w:right w:val="single" w:sz="4" w:space="4" w:color="auto"/>
        </w:pBdr>
        <w:ind w:left="363"/>
      </w:pPr>
      <w:r>
        <w:t>FFS how to select the up to y CSI-RS resource to be included</w:t>
      </w:r>
    </w:p>
    <w:p w:rsidR="00BD0E62" w:rsidRDefault="00BD0E62" w:rsidP="00BD0E62">
      <w:pPr>
        <w:pStyle w:val="Doc-text2"/>
        <w:pBdr>
          <w:top w:val="single" w:sz="4" w:space="1" w:color="auto"/>
          <w:left w:val="single" w:sz="4" w:space="4" w:color="auto"/>
          <w:bottom w:val="single" w:sz="4" w:space="1" w:color="auto"/>
          <w:right w:val="single" w:sz="4" w:space="4" w:color="auto"/>
        </w:pBdr>
        <w:ind w:left="363"/>
      </w:pPr>
      <w:r>
        <w:t>FFS measurement report content for Cx events</w:t>
      </w:r>
    </w:p>
    <w:p w:rsidR="00BD0E62" w:rsidRDefault="00BD0E62" w:rsidP="00BD0E62">
      <w:pPr>
        <w:pStyle w:val="Doc-text2"/>
        <w:pBdr>
          <w:top w:val="single" w:sz="4" w:space="1" w:color="auto"/>
          <w:left w:val="single" w:sz="4" w:space="4" w:color="auto"/>
          <w:bottom w:val="single" w:sz="4" w:space="1" w:color="auto"/>
          <w:right w:val="single" w:sz="4" w:space="4" w:color="auto"/>
        </w:pBdr>
        <w:ind w:left="363"/>
      </w:pPr>
      <w:r>
        <w:t>FFS whether to include the cell quality derived from NR-SS for the same cell to be included in a measurement report triggered based on CSI-RS, if the NR-SS measurement is available</w:t>
      </w:r>
    </w:p>
    <w:p w:rsidR="00BD0E62" w:rsidRPr="00720016" w:rsidRDefault="00BD0E62" w:rsidP="00326AF7">
      <w:pPr>
        <w:spacing w:before="120" w:after="120"/>
        <w:jc w:val="both"/>
        <w:rPr>
          <w:sz w:val="22"/>
          <w:szCs w:val="22"/>
        </w:rPr>
      </w:pPr>
      <w:r>
        <w:rPr>
          <w:sz w:val="22"/>
          <w:szCs w:val="22"/>
        </w:rPr>
        <w:t>In this contribution, we further discuss the measurement configuration with NR-SS and CSI-RS based on the above agreements.</w:t>
      </w:r>
    </w:p>
    <w:p w:rsidR="00364690" w:rsidRDefault="00DC7CF9" w:rsidP="00364690">
      <w:pPr>
        <w:pStyle w:val="Heading1"/>
        <w:rPr>
          <w:lang w:val="en-US" w:eastAsia="ko-KR"/>
        </w:rPr>
      </w:pPr>
      <w:r>
        <w:rPr>
          <w:lang w:val="en-US" w:eastAsia="ko-KR"/>
        </w:rPr>
        <w:t>2 Discussion</w:t>
      </w:r>
    </w:p>
    <w:p w:rsidR="00667C4F" w:rsidRDefault="00667C4F" w:rsidP="00667C4F">
      <w:pPr>
        <w:pStyle w:val="Heading2"/>
        <w:spacing w:before="180" w:after="180"/>
        <w:ind w:left="1134" w:hanging="1134"/>
        <w:jc w:val="both"/>
        <w:rPr>
          <w:rFonts w:ascii="Arial" w:eastAsia="Malgun Gothic" w:hAnsi="Arial" w:cs="Times New Roman"/>
          <w:color w:val="auto"/>
          <w:sz w:val="32"/>
          <w:szCs w:val="20"/>
        </w:rPr>
      </w:pPr>
      <w:r w:rsidRPr="00667C4F">
        <w:rPr>
          <w:rFonts w:ascii="Arial" w:eastAsia="Malgun Gothic" w:hAnsi="Arial" w:cs="Times New Roman"/>
          <w:color w:val="auto"/>
          <w:sz w:val="32"/>
          <w:szCs w:val="20"/>
        </w:rPr>
        <w:t xml:space="preserve">2.1 </w:t>
      </w:r>
      <w:r w:rsidR="0044145C">
        <w:rPr>
          <w:rFonts w:ascii="Arial" w:eastAsia="Malgun Gothic" w:hAnsi="Arial" w:cs="Times New Roman"/>
          <w:color w:val="auto"/>
          <w:sz w:val="32"/>
          <w:szCs w:val="20"/>
        </w:rPr>
        <w:t xml:space="preserve">Measurement </w:t>
      </w:r>
      <w:r w:rsidR="00371512">
        <w:rPr>
          <w:rFonts w:ascii="Arial" w:eastAsia="Malgun Gothic" w:hAnsi="Arial" w:cs="Times New Roman"/>
          <w:color w:val="auto"/>
          <w:sz w:val="32"/>
          <w:szCs w:val="20"/>
        </w:rPr>
        <w:t xml:space="preserve">Object </w:t>
      </w:r>
      <w:r w:rsidR="0044145C">
        <w:rPr>
          <w:rFonts w:ascii="Arial" w:eastAsia="Malgun Gothic" w:hAnsi="Arial" w:cs="Times New Roman"/>
          <w:color w:val="auto"/>
          <w:sz w:val="32"/>
          <w:szCs w:val="20"/>
        </w:rPr>
        <w:t>C</w:t>
      </w:r>
      <w:r w:rsidRPr="00667C4F">
        <w:rPr>
          <w:rFonts w:ascii="Arial" w:eastAsia="Malgun Gothic" w:hAnsi="Arial" w:cs="Times New Roman"/>
          <w:color w:val="auto"/>
          <w:sz w:val="32"/>
          <w:szCs w:val="20"/>
        </w:rPr>
        <w:t xml:space="preserve">onfiguration for NR-SS </w:t>
      </w:r>
      <w:r w:rsidR="00371512">
        <w:rPr>
          <w:rFonts w:ascii="Arial" w:eastAsia="Malgun Gothic" w:hAnsi="Arial" w:cs="Times New Roman"/>
          <w:color w:val="auto"/>
          <w:sz w:val="32"/>
          <w:szCs w:val="20"/>
        </w:rPr>
        <w:t>and CSI-RS</w:t>
      </w:r>
    </w:p>
    <w:p w:rsidR="00371512" w:rsidRPr="00371512" w:rsidRDefault="00371512" w:rsidP="00371512">
      <w:pPr>
        <w:rPr>
          <w:b/>
          <w:i/>
          <w:sz w:val="22"/>
          <w:szCs w:val="22"/>
          <w:u w:val="single"/>
        </w:rPr>
      </w:pPr>
      <w:r w:rsidRPr="00371512">
        <w:rPr>
          <w:b/>
          <w:i/>
          <w:sz w:val="22"/>
          <w:szCs w:val="22"/>
          <w:u w:val="single"/>
        </w:rPr>
        <w:t>NR-SS</w:t>
      </w:r>
    </w:p>
    <w:p w:rsidR="0044145C" w:rsidRDefault="00667C4F" w:rsidP="0044145C">
      <w:pPr>
        <w:spacing w:before="120" w:after="120"/>
        <w:jc w:val="both"/>
        <w:rPr>
          <w:sz w:val="22"/>
          <w:szCs w:val="22"/>
        </w:rPr>
      </w:pPr>
      <w:r w:rsidRPr="0044145C">
        <w:rPr>
          <w:sz w:val="22"/>
          <w:szCs w:val="22"/>
        </w:rPr>
        <w:t xml:space="preserve">During last RAN2 meeting, it was agreed that for NR-SS based RRM measurement, SS burst set periodicities can be configured. It’s FFS maximum number of possible periodicities per carrier. According to RAN1 </w:t>
      </w:r>
      <w:r w:rsidR="0044145C" w:rsidRPr="0044145C">
        <w:rPr>
          <w:sz w:val="22"/>
          <w:szCs w:val="22"/>
        </w:rPr>
        <w:t>LS [</w:t>
      </w:r>
      <w:r w:rsidRPr="0044145C">
        <w:rPr>
          <w:sz w:val="22"/>
          <w:szCs w:val="22"/>
        </w:rPr>
        <w:t xml:space="preserve">1], </w:t>
      </w:r>
      <w:r w:rsidR="0044145C">
        <w:rPr>
          <w:sz w:val="22"/>
          <w:szCs w:val="22"/>
        </w:rPr>
        <w:t xml:space="preserve">RAN1 is considering </w:t>
      </w:r>
      <w:r w:rsidR="0065002B">
        <w:rPr>
          <w:sz w:val="22"/>
          <w:szCs w:val="22"/>
        </w:rPr>
        <w:t xml:space="preserve">using </w:t>
      </w:r>
      <w:r w:rsidR="0044145C" w:rsidRPr="0044145C">
        <w:rPr>
          <w:sz w:val="22"/>
          <w:szCs w:val="22"/>
        </w:rPr>
        <w:t>the</w:t>
      </w:r>
      <w:r w:rsidRPr="0044145C">
        <w:rPr>
          <w:sz w:val="22"/>
          <w:szCs w:val="22"/>
        </w:rPr>
        <w:t xml:space="preserve"> </w:t>
      </w:r>
      <w:r w:rsidR="0044145C" w:rsidRPr="0044145C">
        <w:rPr>
          <w:sz w:val="22"/>
          <w:szCs w:val="22"/>
        </w:rPr>
        <w:t xml:space="preserve">timing configuration </w:t>
      </w:r>
      <w:r w:rsidR="0044145C" w:rsidRPr="0044145C">
        <w:rPr>
          <w:rFonts w:hint="eastAsia"/>
          <w:sz w:val="22"/>
          <w:szCs w:val="22"/>
        </w:rPr>
        <w:t xml:space="preserve">(SMTC) </w:t>
      </w:r>
      <w:r w:rsidR="0044145C" w:rsidRPr="0044145C">
        <w:rPr>
          <w:sz w:val="22"/>
          <w:szCs w:val="22"/>
        </w:rPr>
        <w:t xml:space="preserve">i.e., </w:t>
      </w:r>
      <w:r w:rsidR="0044145C" w:rsidRPr="0044145C">
        <w:rPr>
          <w:rFonts w:hint="eastAsia"/>
          <w:sz w:val="22"/>
          <w:szCs w:val="22"/>
        </w:rPr>
        <w:t xml:space="preserve">measurement window </w:t>
      </w:r>
      <w:r w:rsidR="0044145C" w:rsidRPr="0044145C">
        <w:rPr>
          <w:sz w:val="22"/>
          <w:szCs w:val="22"/>
        </w:rPr>
        <w:t>periodicity/duration</w:t>
      </w:r>
      <w:r w:rsidR="0044145C" w:rsidRPr="0044145C">
        <w:rPr>
          <w:rFonts w:hint="eastAsia"/>
          <w:sz w:val="22"/>
          <w:szCs w:val="22"/>
        </w:rPr>
        <w:t>/offset</w:t>
      </w:r>
      <w:r w:rsidR="0044145C" w:rsidRPr="0044145C">
        <w:rPr>
          <w:sz w:val="22"/>
          <w:szCs w:val="22"/>
        </w:rPr>
        <w:t xml:space="preserve"> information for</w:t>
      </w:r>
      <w:r w:rsidR="0065002B">
        <w:rPr>
          <w:sz w:val="22"/>
          <w:szCs w:val="22"/>
        </w:rPr>
        <w:t xml:space="preserve"> SS block based RRM measurement. </w:t>
      </w:r>
      <w:r w:rsidR="0044145C" w:rsidRPr="0044145C">
        <w:rPr>
          <w:rFonts w:hint="eastAsia"/>
          <w:sz w:val="22"/>
          <w:szCs w:val="22"/>
        </w:rPr>
        <w:t xml:space="preserve">For intra-frequency </w:t>
      </w:r>
      <w:r w:rsidR="0044145C" w:rsidRPr="00C4774B">
        <w:rPr>
          <w:rFonts w:hint="eastAsia"/>
          <w:sz w:val="22"/>
          <w:szCs w:val="22"/>
        </w:rPr>
        <w:t>measurement, up to two</w:t>
      </w:r>
      <w:r w:rsidR="0044145C" w:rsidRPr="00C4774B">
        <w:rPr>
          <w:sz w:val="22"/>
          <w:szCs w:val="22"/>
        </w:rPr>
        <w:t xml:space="preserve"> measurement </w:t>
      </w:r>
      <w:r w:rsidR="0044145C" w:rsidRPr="00C4774B">
        <w:rPr>
          <w:rFonts w:hint="eastAsia"/>
          <w:sz w:val="22"/>
          <w:szCs w:val="22"/>
        </w:rPr>
        <w:t>window periodicities</w:t>
      </w:r>
      <w:r w:rsidR="0044145C" w:rsidRPr="00C4774B">
        <w:rPr>
          <w:sz w:val="22"/>
          <w:szCs w:val="22"/>
        </w:rPr>
        <w:t xml:space="preserve"> can be configured. </w:t>
      </w:r>
      <w:r w:rsidR="0044145C" w:rsidRPr="00C4774B">
        <w:rPr>
          <w:rFonts w:hint="eastAsia"/>
          <w:sz w:val="22"/>
          <w:szCs w:val="22"/>
        </w:rPr>
        <w:t>UE can be informed of which cell(s) is associated with which measurement window periodicity</w:t>
      </w:r>
      <w:r w:rsidR="0044145C" w:rsidRPr="0044145C">
        <w:rPr>
          <w:sz w:val="22"/>
          <w:szCs w:val="22"/>
        </w:rPr>
        <w:t>.</w:t>
      </w:r>
      <w:r w:rsidR="0044145C">
        <w:rPr>
          <w:sz w:val="22"/>
          <w:szCs w:val="22"/>
        </w:rPr>
        <w:t xml:space="preserve"> But </w:t>
      </w:r>
      <w:r w:rsidR="0044145C">
        <w:rPr>
          <w:rFonts w:hint="eastAsia"/>
          <w:sz w:val="22"/>
          <w:szCs w:val="22"/>
        </w:rPr>
        <w:t>s</w:t>
      </w:r>
      <w:r w:rsidR="0044145C" w:rsidRPr="0044145C">
        <w:rPr>
          <w:rFonts w:hint="eastAsia"/>
          <w:sz w:val="22"/>
          <w:szCs w:val="22"/>
        </w:rPr>
        <w:t>ingle measurement window offset and duration are configured per frequency carrier</w:t>
      </w:r>
      <w:r w:rsidR="0044145C">
        <w:rPr>
          <w:sz w:val="22"/>
          <w:szCs w:val="22"/>
        </w:rPr>
        <w:t xml:space="preserve">. </w:t>
      </w:r>
      <w:r w:rsidR="0044145C" w:rsidRPr="0044145C">
        <w:rPr>
          <w:sz w:val="22"/>
          <w:szCs w:val="22"/>
        </w:rPr>
        <w:t xml:space="preserve">For </w:t>
      </w:r>
      <w:r w:rsidR="0044145C" w:rsidRPr="0044145C">
        <w:rPr>
          <w:rFonts w:hint="eastAsia"/>
          <w:sz w:val="22"/>
          <w:szCs w:val="22"/>
        </w:rPr>
        <w:t>inter-frequency measurements, o</w:t>
      </w:r>
      <w:r w:rsidR="0044145C" w:rsidRPr="0044145C">
        <w:rPr>
          <w:sz w:val="22"/>
          <w:szCs w:val="22"/>
        </w:rPr>
        <w:t xml:space="preserve">nly single </w:t>
      </w:r>
      <w:r w:rsidR="0044145C" w:rsidRPr="0044145C">
        <w:rPr>
          <w:rFonts w:hint="eastAsia"/>
          <w:sz w:val="22"/>
          <w:szCs w:val="22"/>
        </w:rPr>
        <w:t>SMTC</w:t>
      </w:r>
      <w:r w:rsidR="0044145C" w:rsidRPr="0044145C">
        <w:rPr>
          <w:sz w:val="22"/>
          <w:szCs w:val="22"/>
        </w:rPr>
        <w:t xml:space="preserve"> is configured per frequency carrier. </w:t>
      </w:r>
    </w:p>
    <w:p w:rsidR="0044145C" w:rsidRPr="00330C64" w:rsidRDefault="0044145C" w:rsidP="0044145C">
      <w:pPr>
        <w:spacing w:before="120" w:after="120"/>
        <w:jc w:val="both"/>
        <w:rPr>
          <w:b/>
          <w:sz w:val="22"/>
          <w:szCs w:val="22"/>
        </w:rPr>
      </w:pPr>
      <w:r w:rsidRPr="00330C64">
        <w:rPr>
          <w:b/>
          <w:sz w:val="22"/>
          <w:szCs w:val="22"/>
        </w:rPr>
        <w:t xml:space="preserve">Proposal 1: </w:t>
      </w:r>
      <w:r w:rsidR="0065002B" w:rsidRPr="00330C64">
        <w:rPr>
          <w:b/>
          <w:sz w:val="22"/>
          <w:szCs w:val="22"/>
        </w:rPr>
        <w:t>For inter-frequency measurement, single SMTC is configured as part of the measurement object for the corresponding frequency carrier.</w:t>
      </w:r>
    </w:p>
    <w:p w:rsidR="0065002B" w:rsidRPr="00330C64" w:rsidRDefault="0065002B" w:rsidP="0044145C">
      <w:pPr>
        <w:spacing w:before="120" w:after="120"/>
        <w:jc w:val="both"/>
        <w:rPr>
          <w:b/>
          <w:sz w:val="22"/>
          <w:szCs w:val="22"/>
        </w:rPr>
      </w:pPr>
      <w:r w:rsidRPr="00330C64">
        <w:rPr>
          <w:b/>
          <w:sz w:val="22"/>
          <w:szCs w:val="22"/>
        </w:rPr>
        <w:t xml:space="preserve">Proposal 2: For intra-frequency measurement, single measurement window, duration and up to two measurement window periodicities are configured as part of the measurement object for the serving frequency. </w:t>
      </w:r>
    </w:p>
    <w:p w:rsidR="0065002B" w:rsidRPr="00330C64" w:rsidRDefault="0065002B" w:rsidP="0044145C">
      <w:pPr>
        <w:spacing w:before="120" w:after="120"/>
        <w:jc w:val="both"/>
        <w:rPr>
          <w:b/>
          <w:sz w:val="22"/>
          <w:szCs w:val="22"/>
        </w:rPr>
      </w:pPr>
      <w:r w:rsidRPr="00330C64">
        <w:rPr>
          <w:b/>
          <w:sz w:val="22"/>
          <w:szCs w:val="22"/>
        </w:rPr>
        <w:t>Proposal 3: For intra-frequency measurement</w:t>
      </w:r>
      <w:r w:rsidR="00CC2C64">
        <w:rPr>
          <w:b/>
          <w:sz w:val="22"/>
          <w:szCs w:val="22"/>
        </w:rPr>
        <w:t xml:space="preserve"> with two measurement window periodicities</w:t>
      </w:r>
      <w:r w:rsidRPr="00330C64">
        <w:rPr>
          <w:b/>
          <w:sz w:val="22"/>
          <w:szCs w:val="22"/>
        </w:rPr>
        <w:t xml:space="preserve">, longer measurement window periodicity is configured as the default value and the other measurement window periodicity is configured with a lists of cells. </w:t>
      </w:r>
    </w:p>
    <w:p w:rsidR="00EB098F" w:rsidRDefault="00876C30" w:rsidP="00EB098F">
      <w:pPr>
        <w:spacing w:before="120" w:after="120"/>
        <w:jc w:val="both"/>
        <w:rPr>
          <w:sz w:val="22"/>
          <w:szCs w:val="22"/>
        </w:rPr>
      </w:pPr>
      <w:r>
        <w:rPr>
          <w:sz w:val="22"/>
          <w:szCs w:val="22"/>
        </w:rPr>
        <w:t xml:space="preserve">In RAN2#98 meeting, it was agreed that </w:t>
      </w:r>
      <w:r w:rsidRPr="00876C30">
        <w:rPr>
          <w:sz w:val="22"/>
          <w:szCs w:val="22"/>
        </w:rPr>
        <w:t>SS block identifier can be included in measurement report. How to derive the time index for measurement report need to be considered. According to the LS [2], RAN1 considered both synchronous and asynchronous network. In asynchronous networks, UE need to derive the SS block time index for detected NR PSS/SSS of the neighbour cell; in synchronous networks, UE may be able to use serving cell’s timing as a reference for neighbour cell’s time and UE may not need to retrieve SS block time index from the neighbour cell.</w:t>
      </w:r>
      <w:r>
        <w:rPr>
          <w:sz w:val="22"/>
          <w:szCs w:val="22"/>
        </w:rPr>
        <w:t xml:space="preserve"> Furthermore, RAN1 agreed </w:t>
      </w:r>
      <w:r w:rsidRPr="00876C30">
        <w:rPr>
          <w:rFonts w:hint="eastAsia"/>
          <w:sz w:val="22"/>
          <w:szCs w:val="22"/>
        </w:rPr>
        <w:t>to support an indication</w:t>
      </w:r>
      <w:r w:rsidRPr="00876C30">
        <w:rPr>
          <w:sz w:val="22"/>
          <w:szCs w:val="22"/>
        </w:rPr>
        <w:t xml:space="preserve"> informing UE whether the network is asynchronous or synchronous. </w:t>
      </w:r>
      <w:r w:rsidR="00101588" w:rsidRPr="00876C30">
        <w:rPr>
          <w:rFonts w:hint="eastAsia"/>
          <w:sz w:val="22"/>
          <w:szCs w:val="22"/>
        </w:rPr>
        <w:t>I</w:t>
      </w:r>
      <w:r w:rsidR="00330C64" w:rsidRPr="00876C30">
        <w:rPr>
          <w:rFonts w:hint="eastAsia"/>
          <w:sz w:val="22"/>
          <w:szCs w:val="22"/>
        </w:rPr>
        <w:t xml:space="preserve">t is up to </w:t>
      </w:r>
      <w:r w:rsidR="00330C64" w:rsidRPr="00876C30">
        <w:rPr>
          <w:sz w:val="22"/>
          <w:szCs w:val="22"/>
        </w:rPr>
        <w:t xml:space="preserve">RAN2 </w:t>
      </w:r>
      <w:r w:rsidR="00330C64" w:rsidRPr="00876C30">
        <w:rPr>
          <w:rFonts w:hint="eastAsia"/>
          <w:sz w:val="22"/>
          <w:szCs w:val="22"/>
        </w:rPr>
        <w:t>how to provide this indication</w:t>
      </w:r>
      <w:r w:rsidR="00330C64" w:rsidRPr="00876C30">
        <w:rPr>
          <w:sz w:val="22"/>
          <w:szCs w:val="22"/>
        </w:rPr>
        <w:t xml:space="preserve">. </w:t>
      </w:r>
    </w:p>
    <w:p w:rsidR="002B0E87" w:rsidRDefault="00876C30" w:rsidP="00EB098F">
      <w:pPr>
        <w:spacing w:before="120" w:after="120"/>
        <w:jc w:val="both"/>
        <w:rPr>
          <w:sz w:val="22"/>
          <w:szCs w:val="22"/>
        </w:rPr>
      </w:pPr>
      <w:r>
        <w:rPr>
          <w:sz w:val="22"/>
          <w:szCs w:val="22"/>
        </w:rPr>
        <w:t xml:space="preserve">Considering the </w:t>
      </w:r>
      <w:r w:rsidRPr="00876C30">
        <w:rPr>
          <w:sz w:val="22"/>
          <w:szCs w:val="22"/>
        </w:rPr>
        <w:t>synchronous</w:t>
      </w:r>
      <w:r>
        <w:rPr>
          <w:sz w:val="22"/>
          <w:szCs w:val="22"/>
        </w:rPr>
        <w:t xml:space="preserve"> status is network-specific</w:t>
      </w:r>
      <w:r w:rsidR="00216BEB">
        <w:rPr>
          <w:sz w:val="22"/>
          <w:szCs w:val="22"/>
        </w:rPr>
        <w:t xml:space="preserve">, the most straightforward way is to indicate it in RMSI. Although </w:t>
      </w:r>
      <w:r w:rsidR="00216BEB" w:rsidRPr="00EB098F">
        <w:rPr>
          <w:sz w:val="22"/>
          <w:szCs w:val="22"/>
        </w:rPr>
        <w:t xml:space="preserve">UE may not necessarily need the SS block time index for the cell re-selection process in IDLE/Inactive state, UE is required to read the SS block time index information (as well as SFN in NR PBCH) to derive the slot and radio frame boundaries after camp on a cell. </w:t>
      </w:r>
      <w:r w:rsidR="00485F84" w:rsidRPr="00EB098F">
        <w:rPr>
          <w:sz w:val="22"/>
          <w:szCs w:val="22"/>
        </w:rPr>
        <w:t xml:space="preserve">If the synchronization information </w:t>
      </w:r>
      <w:r w:rsidR="00485F84">
        <w:rPr>
          <w:sz w:val="22"/>
          <w:szCs w:val="22"/>
        </w:rPr>
        <w:lastRenderedPageBreak/>
        <w:t>is</w:t>
      </w:r>
      <w:r w:rsidR="00485F84" w:rsidRPr="00EB098F">
        <w:rPr>
          <w:sz w:val="22"/>
          <w:szCs w:val="22"/>
        </w:rPr>
        <w:t xml:space="preserve"> carried in RMSI,</w:t>
      </w:r>
      <w:r w:rsidR="00485F84">
        <w:rPr>
          <w:sz w:val="22"/>
          <w:szCs w:val="22"/>
        </w:rPr>
        <w:t xml:space="preserve"> UE may not need to read those information when </w:t>
      </w:r>
      <w:r w:rsidR="002B0E87">
        <w:rPr>
          <w:sz w:val="22"/>
          <w:szCs w:val="22"/>
        </w:rPr>
        <w:t>camp on</w:t>
      </w:r>
      <w:r w:rsidR="00485F84">
        <w:rPr>
          <w:sz w:val="22"/>
          <w:szCs w:val="22"/>
        </w:rPr>
        <w:t xml:space="preserve"> another cell</w:t>
      </w:r>
      <w:r w:rsidR="002B0E87">
        <w:rPr>
          <w:sz w:val="22"/>
          <w:szCs w:val="22"/>
        </w:rPr>
        <w:t xml:space="preserve"> after cell reselection</w:t>
      </w:r>
      <w:r w:rsidR="00485F84">
        <w:rPr>
          <w:sz w:val="22"/>
          <w:szCs w:val="22"/>
        </w:rPr>
        <w:t xml:space="preserve">. </w:t>
      </w:r>
    </w:p>
    <w:p w:rsidR="00EB098F" w:rsidRDefault="00EB098F" w:rsidP="003C1DB6">
      <w:pPr>
        <w:spacing w:before="120" w:after="120"/>
        <w:jc w:val="both"/>
        <w:rPr>
          <w:b/>
          <w:sz w:val="22"/>
          <w:szCs w:val="22"/>
        </w:rPr>
      </w:pPr>
      <w:r w:rsidRPr="002B0E87">
        <w:rPr>
          <w:b/>
          <w:sz w:val="22"/>
          <w:szCs w:val="22"/>
        </w:rPr>
        <w:t>Proposal 4: The network asynchronous</w:t>
      </w:r>
      <w:r w:rsidRPr="002B0E87">
        <w:rPr>
          <w:rFonts w:eastAsiaTheme="minorEastAsia" w:hint="eastAsia"/>
          <w:b/>
          <w:sz w:val="22"/>
          <w:szCs w:val="22"/>
          <w:lang w:eastAsia="zh-CN"/>
        </w:rPr>
        <w:t>/</w:t>
      </w:r>
      <w:r w:rsidRPr="002B0E87">
        <w:rPr>
          <w:b/>
          <w:sz w:val="22"/>
          <w:szCs w:val="22"/>
        </w:rPr>
        <w:t xml:space="preserve">synchronous indication is provided in RMSI. </w:t>
      </w:r>
    </w:p>
    <w:p w:rsidR="00371512" w:rsidRPr="00371512" w:rsidRDefault="00371512" w:rsidP="003C1DB6">
      <w:pPr>
        <w:jc w:val="both"/>
        <w:rPr>
          <w:b/>
          <w:i/>
          <w:sz w:val="22"/>
          <w:szCs w:val="22"/>
          <w:u w:val="single"/>
        </w:rPr>
      </w:pPr>
      <w:r w:rsidRPr="00371512">
        <w:rPr>
          <w:b/>
          <w:i/>
          <w:sz w:val="22"/>
          <w:szCs w:val="22"/>
          <w:u w:val="single"/>
        </w:rPr>
        <w:t>CSI-RS</w:t>
      </w:r>
    </w:p>
    <w:p w:rsidR="00371512" w:rsidRDefault="00371512" w:rsidP="003C1DB6">
      <w:pPr>
        <w:jc w:val="both"/>
        <w:rPr>
          <w:sz w:val="22"/>
          <w:szCs w:val="22"/>
        </w:rPr>
      </w:pPr>
      <w:r>
        <w:rPr>
          <w:rFonts w:hint="eastAsia"/>
          <w:sz w:val="22"/>
          <w:szCs w:val="22"/>
        </w:rPr>
        <w:t xml:space="preserve">RAN1 made a series of </w:t>
      </w:r>
      <w:r w:rsidR="002B0E87" w:rsidRPr="00371512">
        <w:rPr>
          <w:rFonts w:hint="eastAsia"/>
          <w:sz w:val="22"/>
          <w:szCs w:val="22"/>
        </w:rPr>
        <w:t>agreements regarding RRM measurement based on CSI-RS for L3 mobility at RAN1#NR-AH2 meeting.</w:t>
      </w:r>
      <w:r>
        <w:rPr>
          <w:sz w:val="22"/>
          <w:szCs w:val="22"/>
        </w:rPr>
        <w:t xml:space="preserve"> Following CSI-RS properties are supported in NR:  </w:t>
      </w:r>
    </w:p>
    <w:p w:rsidR="00371512" w:rsidRPr="00371512" w:rsidRDefault="00371512" w:rsidP="003C1DB6">
      <w:pPr>
        <w:pStyle w:val="ListParagraph"/>
        <w:numPr>
          <w:ilvl w:val="0"/>
          <w:numId w:val="30"/>
        </w:numPr>
        <w:jc w:val="both"/>
        <w:rPr>
          <w:rFonts w:ascii="Times New Roman" w:hAnsi="Times New Roman" w:cs="Times New Roman"/>
        </w:rPr>
      </w:pPr>
      <w:r w:rsidRPr="00371512">
        <w:rPr>
          <w:rFonts w:ascii="Times New Roman" w:hAnsi="Times New Roman" w:cs="Times New Roman"/>
        </w:rPr>
        <w:t>Configurable periodicity</w:t>
      </w:r>
    </w:p>
    <w:p w:rsidR="00371512" w:rsidRPr="00371512" w:rsidRDefault="00371512" w:rsidP="003C1DB6">
      <w:pPr>
        <w:pStyle w:val="ListParagraph"/>
        <w:numPr>
          <w:ilvl w:val="0"/>
          <w:numId w:val="30"/>
        </w:numPr>
        <w:jc w:val="both"/>
        <w:rPr>
          <w:rFonts w:ascii="Times New Roman" w:hAnsi="Times New Roman" w:cs="Times New Roman"/>
        </w:rPr>
      </w:pPr>
      <w:r w:rsidRPr="00371512">
        <w:rPr>
          <w:rFonts w:ascii="Times New Roman" w:hAnsi="Times New Roman" w:cs="Times New Roman"/>
        </w:rPr>
        <w:t xml:space="preserve">Configurable transmission bandwidth </w:t>
      </w:r>
    </w:p>
    <w:p w:rsidR="00371512" w:rsidRPr="00371512" w:rsidRDefault="00371512" w:rsidP="003C1DB6">
      <w:pPr>
        <w:pStyle w:val="ListParagraph"/>
        <w:numPr>
          <w:ilvl w:val="0"/>
          <w:numId w:val="30"/>
        </w:numPr>
        <w:jc w:val="both"/>
        <w:rPr>
          <w:rFonts w:ascii="Times New Roman" w:hAnsi="Times New Roman" w:cs="Times New Roman"/>
        </w:rPr>
      </w:pPr>
      <w:r w:rsidRPr="00371512">
        <w:rPr>
          <w:rFonts w:ascii="Times New Roman" w:hAnsi="Times New Roman" w:cs="Times New Roman"/>
        </w:rPr>
        <w:t>Configurable measurement bandwidth and frequency location</w:t>
      </w:r>
    </w:p>
    <w:p w:rsidR="00371512" w:rsidRPr="00371512" w:rsidRDefault="00371512" w:rsidP="003C1DB6">
      <w:pPr>
        <w:pStyle w:val="ListParagraph"/>
        <w:numPr>
          <w:ilvl w:val="0"/>
          <w:numId w:val="30"/>
        </w:numPr>
        <w:jc w:val="both"/>
        <w:rPr>
          <w:rFonts w:ascii="Times New Roman" w:hAnsi="Times New Roman" w:cs="Times New Roman"/>
        </w:rPr>
      </w:pPr>
      <w:r w:rsidRPr="00371512">
        <w:rPr>
          <w:rFonts w:ascii="Times New Roman" w:hAnsi="Times New Roman" w:cs="Times New Roman"/>
        </w:rPr>
        <w:t xml:space="preserve">Configurable parameters for sequence generation </w:t>
      </w:r>
    </w:p>
    <w:p w:rsidR="00371512" w:rsidRPr="00371512" w:rsidRDefault="00371512" w:rsidP="003C1DB6">
      <w:pPr>
        <w:pStyle w:val="ListParagraph"/>
        <w:numPr>
          <w:ilvl w:val="0"/>
          <w:numId w:val="30"/>
        </w:numPr>
        <w:jc w:val="both"/>
        <w:rPr>
          <w:rFonts w:ascii="Times New Roman" w:hAnsi="Times New Roman" w:cs="Times New Roman"/>
        </w:rPr>
      </w:pPr>
      <w:r w:rsidRPr="00371512">
        <w:rPr>
          <w:rFonts w:ascii="Times New Roman" w:hAnsi="Times New Roman" w:cs="Times New Roman"/>
        </w:rPr>
        <w:t>Configurable numerology</w:t>
      </w:r>
    </w:p>
    <w:p w:rsidR="00371512" w:rsidRPr="00371512" w:rsidRDefault="00371512" w:rsidP="003C1DB6">
      <w:pPr>
        <w:pStyle w:val="ListParagraph"/>
        <w:numPr>
          <w:ilvl w:val="0"/>
          <w:numId w:val="30"/>
        </w:numPr>
        <w:jc w:val="both"/>
        <w:rPr>
          <w:rFonts w:ascii="Times New Roman" w:hAnsi="Times New Roman" w:cs="Times New Roman"/>
        </w:rPr>
      </w:pPr>
      <w:r w:rsidRPr="00371512">
        <w:rPr>
          <w:rFonts w:ascii="Times New Roman" w:hAnsi="Times New Roman" w:cs="Times New Roman"/>
        </w:rPr>
        <w:t>Association between CSI-RS for RRM measurement and SS block</w:t>
      </w:r>
    </w:p>
    <w:p w:rsidR="00371512" w:rsidRPr="00371512" w:rsidRDefault="00371512" w:rsidP="003C1DB6">
      <w:pPr>
        <w:pStyle w:val="ListParagraph"/>
        <w:numPr>
          <w:ilvl w:val="0"/>
          <w:numId w:val="30"/>
        </w:numPr>
        <w:jc w:val="both"/>
        <w:rPr>
          <w:rFonts w:ascii="Times New Roman" w:hAnsi="Times New Roman" w:cs="Times New Roman"/>
        </w:rPr>
      </w:pPr>
      <w:r w:rsidRPr="00371512">
        <w:rPr>
          <w:rFonts w:ascii="Times New Roman" w:hAnsi="Times New Roman" w:cs="Times New Roman"/>
        </w:rPr>
        <w:t xml:space="preserve">Configurable CSI-RS time/frequency resource </w:t>
      </w:r>
    </w:p>
    <w:p w:rsidR="00371512" w:rsidRPr="00371512" w:rsidRDefault="00371512" w:rsidP="003C1DB6">
      <w:pPr>
        <w:spacing w:before="120" w:after="120"/>
        <w:jc w:val="both"/>
        <w:rPr>
          <w:b/>
          <w:sz w:val="22"/>
          <w:szCs w:val="22"/>
        </w:rPr>
      </w:pPr>
      <w:r w:rsidRPr="00371512">
        <w:rPr>
          <w:b/>
          <w:sz w:val="22"/>
          <w:szCs w:val="22"/>
        </w:rPr>
        <w:t xml:space="preserve">Proposal 5: RAN2 should </w:t>
      </w:r>
      <w:r>
        <w:rPr>
          <w:b/>
          <w:sz w:val="22"/>
          <w:szCs w:val="22"/>
        </w:rPr>
        <w:t>provide configuration for the following properties</w:t>
      </w:r>
      <w:r w:rsidRPr="00371512">
        <w:rPr>
          <w:b/>
          <w:sz w:val="22"/>
          <w:szCs w:val="22"/>
        </w:rPr>
        <w:t xml:space="preserve"> for CSI-RS </w:t>
      </w:r>
      <w:r>
        <w:rPr>
          <w:b/>
          <w:sz w:val="22"/>
          <w:szCs w:val="22"/>
        </w:rPr>
        <w:t>based</w:t>
      </w:r>
      <w:r w:rsidRPr="00371512">
        <w:rPr>
          <w:b/>
          <w:sz w:val="22"/>
          <w:szCs w:val="22"/>
        </w:rPr>
        <w:t xml:space="preserve"> RRM measurement: periodicity, transmission bandwidth, measurement bandwidth, frequency location, parameters for sequence generation, numerology, </w:t>
      </w:r>
      <w:r>
        <w:rPr>
          <w:b/>
          <w:sz w:val="22"/>
          <w:szCs w:val="22"/>
        </w:rPr>
        <w:t>a</w:t>
      </w:r>
      <w:r w:rsidRPr="00371512">
        <w:rPr>
          <w:b/>
          <w:sz w:val="22"/>
          <w:szCs w:val="22"/>
        </w:rPr>
        <w:t xml:space="preserve">ssociation between CSI-RS for RRM measurement and SS block and CSI-RS time/frequency resource. </w:t>
      </w:r>
    </w:p>
    <w:p w:rsidR="00371512" w:rsidRDefault="00371512" w:rsidP="003C1DB6">
      <w:pPr>
        <w:pStyle w:val="Heading2"/>
        <w:spacing w:before="180" w:after="180"/>
        <w:ind w:left="1134" w:hanging="1134"/>
        <w:jc w:val="both"/>
        <w:rPr>
          <w:rFonts w:ascii="Arial" w:eastAsia="Malgun Gothic" w:hAnsi="Arial" w:cs="Times New Roman"/>
          <w:color w:val="auto"/>
          <w:sz w:val="32"/>
          <w:szCs w:val="20"/>
        </w:rPr>
      </w:pPr>
      <w:r w:rsidRPr="00667C4F">
        <w:rPr>
          <w:rFonts w:ascii="Arial" w:eastAsia="Malgun Gothic" w:hAnsi="Arial" w:cs="Times New Roman"/>
          <w:color w:val="auto"/>
          <w:sz w:val="32"/>
          <w:szCs w:val="20"/>
        </w:rPr>
        <w:t>2.</w:t>
      </w:r>
      <w:r>
        <w:rPr>
          <w:rFonts w:ascii="Arial" w:eastAsia="Malgun Gothic" w:hAnsi="Arial" w:cs="Times New Roman"/>
          <w:color w:val="auto"/>
          <w:sz w:val="32"/>
          <w:szCs w:val="20"/>
        </w:rPr>
        <w:t>2</w:t>
      </w:r>
      <w:r w:rsidRPr="00667C4F">
        <w:rPr>
          <w:rFonts w:ascii="Arial" w:eastAsia="Malgun Gothic" w:hAnsi="Arial" w:cs="Times New Roman"/>
          <w:color w:val="auto"/>
          <w:sz w:val="32"/>
          <w:szCs w:val="20"/>
        </w:rPr>
        <w:t xml:space="preserve"> </w:t>
      </w:r>
      <w:r>
        <w:rPr>
          <w:rFonts w:ascii="Arial" w:eastAsia="Malgun Gothic" w:hAnsi="Arial" w:cs="Times New Roman"/>
          <w:color w:val="auto"/>
          <w:sz w:val="32"/>
          <w:szCs w:val="20"/>
        </w:rPr>
        <w:t>Measurement Report Configuration</w:t>
      </w:r>
      <w:r w:rsidRPr="00667C4F">
        <w:rPr>
          <w:rFonts w:ascii="Arial" w:eastAsia="Malgun Gothic" w:hAnsi="Arial" w:cs="Times New Roman"/>
          <w:color w:val="auto"/>
          <w:sz w:val="32"/>
          <w:szCs w:val="20"/>
        </w:rPr>
        <w:t xml:space="preserve"> for NR-SS </w:t>
      </w:r>
      <w:r>
        <w:rPr>
          <w:rFonts w:ascii="Arial" w:eastAsia="Malgun Gothic" w:hAnsi="Arial" w:cs="Times New Roman"/>
          <w:color w:val="auto"/>
          <w:sz w:val="32"/>
          <w:szCs w:val="20"/>
        </w:rPr>
        <w:t>and CSI-RS</w:t>
      </w:r>
    </w:p>
    <w:p w:rsidR="003C1DB6" w:rsidRPr="008D7033" w:rsidRDefault="003C1DB6" w:rsidP="008D7033">
      <w:pPr>
        <w:jc w:val="both"/>
        <w:rPr>
          <w:sz w:val="22"/>
          <w:szCs w:val="22"/>
        </w:rPr>
      </w:pPr>
      <w:r w:rsidRPr="008D7033">
        <w:rPr>
          <w:sz w:val="22"/>
          <w:szCs w:val="22"/>
        </w:rPr>
        <w:t xml:space="preserve">In NR, same as LTE, a measurement object is corresponding to one carrier frequency and a list of CSI-RS resource specific configuration for RRM measurement is configured as part of the measurement object. However, in LTE, whether to measure CRS or CSI-RS can be differentiated by the measurement events in the measurement report configuration. For example, the measurement reporting events </w:t>
      </w:r>
      <w:r w:rsidRPr="008D7033">
        <w:rPr>
          <w:rFonts w:hint="eastAsia"/>
          <w:sz w:val="22"/>
          <w:szCs w:val="22"/>
        </w:rPr>
        <w:t>concerning CRS</w:t>
      </w:r>
      <w:r w:rsidRPr="008D7033">
        <w:rPr>
          <w:sz w:val="22"/>
          <w:szCs w:val="22"/>
        </w:rPr>
        <w:t xml:space="preserve"> are labelled A</w:t>
      </w:r>
      <w:r w:rsidRPr="008D7033">
        <w:rPr>
          <w:i/>
          <w:sz w:val="22"/>
          <w:szCs w:val="22"/>
        </w:rPr>
        <w:t>N</w:t>
      </w:r>
      <w:r w:rsidRPr="008D7033">
        <w:rPr>
          <w:sz w:val="22"/>
          <w:szCs w:val="22"/>
        </w:rPr>
        <w:t xml:space="preserve"> with </w:t>
      </w:r>
      <w:r w:rsidRPr="008D7033">
        <w:rPr>
          <w:i/>
          <w:sz w:val="22"/>
          <w:szCs w:val="22"/>
        </w:rPr>
        <w:t>N</w:t>
      </w:r>
      <w:r w:rsidRPr="008D7033">
        <w:rPr>
          <w:sz w:val="22"/>
          <w:szCs w:val="22"/>
        </w:rPr>
        <w:t xml:space="preserve"> equal to 1, 2 and so on. The measurement reporting events </w:t>
      </w:r>
      <w:r w:rsidRPr="008D7033">
        <w:rPr>
          <w:rFonts w:hint="eastAsia"/>
          <w:sz w:val="22"/>
          <w:szCs w:val="22"/>
        </w:rPr>
        <w:t xml:space="preserve">concerning CSI-RS </w:t>
      </w:r>
      <w:r w:rsidRPr="008D7033">
        <w:rPr>
          <w:sz w:val="22"/>
          <w:szCs w:val="22"/>
        </w:rPr>
        <w:t xml:space="preserve">are labelled </w:t>
      </w:r>
      <w:r w:rsidRPr="008D7033">
        <w:rPr>
          <w:rFonts w:hint="eastAsia"/>
          <w:sz w:val="22"/>
          <w:szCs w:val="22"/>
        </w:rPr>
        <w:t>C</w:t>
      </w:r>
      <w:r w:rsidRPr="008D7033">
        <w:rPr>
          <w:i/>
          <w:sz w:val="22"/>
          <w:szCs w:val="22"/>
        </w:rPr>
        <w:t>N</w:t>
      </w:r>
      <w:r w:rsidRPr="008D7033">
        <w:rPr>
          <w:sz w:val="22"/>
          <w:szCs w:val="22"/>
        </w:rPr>
        <w:t xml:space="preserve"> with </w:t>
      </w:r>
      <w:r w:rsidRPr="008D7033">
        <w:rPr>
          <w:i/>
          <w:sz w:val="22"/>
          <w:szCs w:val="22"/>
        </w:rPr>
        <w:t>N</w:t>
      </w:r>
      <w:r w:rsidRPr="008D7033">
        <w:rPr>
          <w:sz w:val="22"/>
          <w:szCs w:val="22"/>
        </w:rPr>
        <w:t xml:space="preserve"> equal to 1</w:t>
      </w:r>
      <w:r w:rsidRPr="008D7033">
        <w:rPr>
          <w:rFonts w:hint="eastAsia"/>
          <w:sz w:val="22"/>
          <w:szCs w:val="22"/>
        </w:rPr>
        <w:t xml:space="preserve"> and</w:t>
      </w:r>
      <w:r w:rsidRPr="008D7033">
        <w:rPr>
          <w:sz w:val="22"/>
          <w:szCs w:val="22"/>
        </w:rPr>
        <w:t xml:space="preserve"> 2. Based on the reporting event configuration, UE </w:t>
      </w:r>
      <w:r w:rsidR="008D7033" w:rsidRPr="008D7033">
        <w:rPr>
          <w:sz w:val="22"/>
          <w:szCs w:val="22"/>
        </w:rPr>
        <w:t xml:space="preserve">knows, each measurement identity linking one measurement object with one reporting configuration is performed on CRS or CSI-RS. </w:t>
      </w:r>
    </w:p>
    <w:p w:rsidR="008D7033" w:rsidRDefault="003C1DB6" w:rsidP="00B72C87">
      <w:pPr>
        <w:jc w:val="both"/>
        <w:rPr>
          <w:sz w:val="22"/>
          <w:szCs w:val="22"/>
        </w:rPr>
      </w:pPr>
      <w:r w:rsidRPr="003C1DB6">
        <w:rPr>
          <w:sz w:val="22"/>
          <w:szCs w:val="22"/>
        </w:rPr>
        <w:t>In RAN2#97bis meeting, it was agreed that Events A1-A6 can be configured to use CSI-RS</w:t>
      </w:r>
      <w:r w:rsidR="008D7033">
        <w:rPr>
          <w:sz w:val="22"/>
          <w:szCs w:val="22"/>
        </w:rPr>
        <w:t xml:space="preserve"> in NR</w:t>
      </w:r>
      <w:r w:rsidRPr="003C1DB6">
        <w:rPr>
          <w:sz w:val="22"/>
          <w:szCs w:val="22"/>
        </w:rPr>
        <w:t xml:space="preserve">. Events are evaluated on the cell level quality. The agreed measurement model and cell quality derivation </w:t>
      </w:r>
      <w:r w:rsidR="008D7033">
        <w:rPr>
          <w:sz w:val="22"/>
          <w:szCs w:val="22"/>
        </w:rPr>
        <w:t xml:space="preserve">for NR-SS based RRM measurement </w:t>
      </w:r>
      <w:r w:rsidRPr="003C1DB6">
        <w:rPr>
          <w:sz w:val="22"/>
          <w:szCs w:val="22"/>
        </w:rPr>
        <w:t>are also applicable for CSI-RS.</w:t>
      </w:r>
      <w:r w:rsidR="008D7033">
        <w:rPr>
          <w:sz w:val="22"/>
          <w:szCs w:val="22"/>
        </w:rPr>
        <w:t xml:space="preserve"> How to differentiate each measurement report configuration is concerning NR-SS or CSI-RS need to be considered. One method is that one </w:t>
      </w:r>
      <w:r w:rsidR="00486C45">
        <w:rPr>
          <w:sz w:val="22"/>
          <w:szCs w:val="22"/>
        </w:rPr>
        <w:t>field</w:t>
      </w:r>
      <w:r w:rsidR="008D7033">
        <w:rPr>
          <w:sz w:val="22"/>
          <w:szCs w:val="22"/>
        </w:rPr>
        <w:t xml:space="preserve"> in measurement report configuration is used to indicate whether it’s for NR-SS or CSI-RS. </w:t>
      </w:r>
      <w:r w:rsidR="007207DA">
        <w:rPr>
          <w:sz w:val="22"/>
          <w:szCs w:val="22"/>
        </w:rPr>
        <w:t xml:space="preserve"> For the same measurement object, different measurement IDs can link the MO to different measurement report configurations concerning NR-SS and CSI-RS respectively.  </w:t>
      </w:r>
    </w:p>
    <w:p w:rsidR="00B72C87" w:rsidRDefault="00B72C87" w:rsidP="00B72C87">
      <w:pPr>
        <w:jc w:val="both"/>
        <w:rPr>
          <w:b/>
          <w:sz w:val="22"/>
          <w:szCs w:val="22"/>
        </w:rPr>
      </w:pPr>
      <w:r w:rsidRPr="00BC5CAF">
        <w:rPr>
          <w:b/>
          <w:sz w:val="22"/>
          <w:szCs w:val="22"/>
        </w:rPr>
        <w:t xml:space="preserve">Proposal 6: </w:t>
      </w:r>
      <w:r w:rsidR="00BC5CAF">
        <w:rPr>
          <w:b/>
          <w:sz w:val="22"/>
          <w:szCs w:val="22"/>
        </w:rPr>
        <w:t xml:space="preserve">One </w:t>
      </w:r>
      <w:r w:rsidR="00486C45">
        <w:rPr>
          <w:b/>
          <w:sz w:val="22"/>
          <w:szCs w:val="22"/>
        </w:rPr>
        <w:t>field</w:t>
      </w:r>
      <w:r w:rsidR="00BC5CAF">
        <w:rPr>
          <w:b/>
          <w:sz w:val="22"/>
          <w:szCs w:val="22"/>
        </w:rPr>
        <w:t xml:space="preserve"> in measurement report configuration indicates w</w:t>
      </w:r>
      <w:r w:rsidR="00CC2C64" w:rsidRPr="00BC5CAF">
        <w:rPr>
          <w:b/>
          <w:sz w:val="22"/>
          <w:szCs w:val="22"/>
        </w:rPr>
        <w:t xml:space="preserve">hether NR-SS or CSI-RS is </w:t>
      </w:r>
      <w:r w:rsidR="00BC5CAF" w:rsidRPr="00BC5CAF">
        <w:rPr>
          <w:b/>
          <w:sz w:val="22"/>
          <w:szCs w:val="22"/>
        </w:rPr>
        <w:t>measured</w:t>
      </w:r>
      <w:r w:rsidR="00CC2C64" w:rsidRPr="00BC5CAF">
        <w:rPr>
          <w:b/>
          <w:sz w:val="22"/>
          <w:szCs w:val="22"/>
        </w:rPr>
        <w:t xml:space="preserve">. </w:t>
      </w:r>
    </w:p>
    <w:p w:rsidR="00233F2E" w:rsidRDefault="00486C45" w:rsidP="00B72C87">
      <w:pPr>
        <w:jc w:val="both"/>
        <w:rPr>
          <w:sz w:val="22"/>
          <w:szCs w:val="22"/>
        </w:rPr>
      </w:pPr>
      <w:r>
        <w:rPr>
          <w:sz w:val="22"/>
          <w:szCs w:val="22"/>
        </w:rPr>
        <w:t>RAN2 agreed that</w:t>
      </w:r>
      <w:r w:rsidR="00BC5CAF" w:rsidRPr="00BC5CAF">
        <w:rPr>
          <w:sz w:val="22"/>
          <w:szCs w:val="22"/>
        </w:rPr>
        <w:t xml:space="preserve"> beam measurement can be included in the measurement report and network</w:t>
      </w:r>
      <w:r>
        <w:rPr>
          <w:sz w:val="22"/>
          <w:szCs w:val="22"/>
        </w:rPr>
        <w:t xml:space="preserve"> and can be configured by network. Generally, one IE with two fields can indicate what information</w:t>
      </w:r>
      <w:r w:rsidR="00233F2E">
        <w:rPr>
          <w:sz w:val="22"/>
          <w:szCs w:val="22"/>
        </w:rPr>
        <w:t xml:space="preserve"> for beam measurement is provided in the measurement report. One field indicates no beam reporting or beam identifier only. The other field indicates the reporting quantity for the beam measurement. The information for beam measurement report is configured in measurement report configuration. </w:t>
      </w:r>
    </w:p>
    <w:p w:rsidR="00233F2E" w:rsidRPr="00233F2E" w:rsidRDefault="00233F2E" w:rsidP="00B72C87">
      <w:pPr>
        <w:jc w:val="both"/>
        <w:rPr>
          <w:b/>
          <w:sz w:val="22"/>
          <w:szCs w:val="22"/>
        </w:rPr>
      </w:pPr>
      <w:r w:rsidRPr="00233F2E">
        <w:rPr>
          <w:b/>
          <w:sz w:val="22"/>
          <w:szCs w:val="22"/>
        </w:rPr>
        <w:lastRenderedPageBreak/>
        <w:t xml:space="preserve">Proposal 7: The IE for beam measurement report contains two fields, one indicating no beam reporting or beam identifier only, and the other indicating the reporting quantity for the beam measurement. </w:t>
      </w:r>
    </w:p>
    <w:p w:rsidR="00BC5CAF" w:rsidRPr="00BC5CAF" w:rsidRDefault="00BC5CAF" w:rsidP="00B72C87">
      <w:pPr>
        <w:jc w:val="both"/>
        <w:rPr>
          <w:b/>
        </w:rPr>
      </w:pPr>
    </w:p>
    <w:p w:rsidR="008D7033" w:rsidRDefault="003704AC" w:rsidP="003704AC">
      <w:pPr>
        <w:jc w:val="center"/>
      </w:pPr>
      <w:r>
        <w:object w:dxaOrig="6360" w:dyaOrig="3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9pt;height:165.75pt" o:ole="">
            <v:imagedata r:id="rId7" o:title=""/>
          </v:shape>
          <o:OLEObject Type="Embed" ProgID="Visio.Drawing.15" ShapeID="_x0000_i1025" DrawAspect="Content" ObjectID="_1563975611" r:id="rId8"/>
        </w:object>
      </w:r>
    </w:p>
    <w:p w:rsidR="003704AC" w:rsidRDefault="003704AC" w:rsidP="003704AC">
      <w:pPr>
        <w:jc w:val="center"/>
      </w:pPr>
      <w:r>
        <w:t>Figure 1 Different MeasIDs for NR-SS and CSI-RS</w:t>
      </w:r>
    </w:p>
    <w:p w:rsidR="002F0024" w:rsidRPr="00F215C0" w:rsidRDefault="002F0024" w:rsidP="00894A7E">
      <w:pPr>
        <w:jc w:val="both"/>
        <w:rPr>
          <w:sz w:val="22"/>
          <w:szCs w:val="22"/>
        </w:rPr>
      </w:pPr>
      <w:r w:rsidRPr="00F215C0">
        <w:rPr>
          <w:sz w:val="22"/>
          <w:szCs w:val="22"/>
        </w:rPr>
        <w:t>Considering the numbers of SS blocks (x) and CSI-RS resources (y) to be included in the measurement report for each cell is also configured, one question is whether x, y are configured in measurement report configuration or measurement object configuration.  If they are configured in the measurement object, the values are the common for different measurement IDs with different measurement report configuration; if  they are configured in measurement report configuration, it’s possible that different measurement events in different measurement report configurations can have different values of x&amp;y. The benefit and motivation to support the flexibility of different x, y values in different measurement report configurati</w:t>
      </w:r>
      <w:r w:rsidR="00894A7E" w:rsidRPr="00F215C0">
        <w:rPr>
          <w:sz w:val="22"/>
          <w:szCs w:val="22"/>
        </w:rPr>
        <w:t xml:space="preserve">on are not justified. But additional complexity at both network and UE side are expected. First, it’s unclear how to configure proper values of x&amp;y for different events at the network side; second, UE need to </w:t>
      </w:r>
      <w:r w:rsidR="00F215C0">
        <w:rPr>
          <w:sz w:val="22"/>
          <w:szCs w:val="22"/>
        </w:rPr>
        <w:t xml:space="preserve">maintain and </w:t>
      </w:r>
      <w:r w:rsidR="00894A7E" w:rsidRPr="00F215C0">
        <w:rPr>
          <w:sz w:val="22"/>
          <w:szCs w:val="22"/>
        </w:rPr>
        <w:t xml:space="preserve">send different numbers of beam measurements triggered by different events. </w:t>
      </w:r>
    </w:p>
    <w:p w:rsidR="00894A7E" w:rsidRDefault="00894A7E" w:rsidP="00894A7E">
      <w:pPr>
        <w:jc w:val="both"/>
        <w:rPr>
          <w:b/>
          <w:sz w:val="22"/>
          <w:szCs w:val="22"/>
        </w:rPr>
      </w:pPr>
      <w:r w:rsidRPr="00233F2E">
        <w:rPr>
          <w:b/>
          <w:sz w:val="22"/>
          <w:szCs w:val="22"/>
        </w:rPr>
        <w:t xml:space="preserve">Proposal </w:t>
      </w:r>
      <w:r>
        <w:rPr>
          <w:b/>
          <w:sz w:val="22"/>
          <w:szCs w:val="22"/>
        </w:rPr>
        <w:t>8</w:t>
      </w:r>
      <w:r w:rsidRPr="00233F2E">
        <w:rPr>
          <w:b/>
          <w:sz w:val="22"/>
          <w:szCs w:val="22"/>
        </w:rPr>
        <w:t>: The</w:t>
      </w:r>
      <w:r>
        <w:rPr>
          <w:b/>
          <w:sz w:val="22"/>
          <w:szCs w:val="22"/>
        </w:rPr>
        <w:t xml:space="preserve"> numbers of</w:t>
      </w:r>
      <w:r w:rsidRPr="00233F2E">
        <w:rPr>
          <w:b/>
          <w:sz w:val="22"/>
          <w:szCs w:val="22"/>
        </w:rPr>
        <w:t xml:space="preserve"> </w:t>
      </w:r>
      <w:r w:rsidRPr="00894A7E">
        <w:rPr>
          <w:b/>
          <w:sz w:val="22"/>
          <w:szCs w:val="22"/>
        </w:rPr>
        <w:t>x SS blocks and y CSI-RS resources</w:t>
      </w:r>
      <w:r w:rsidR="00F215C0">
        <w:rPr>
          <w:b/>
          <w:sz w:val="22"/>
          <w:szCs w:val="22"/>
        </w:rPr>
        <w:t xml:space="preserve"> to report beam measurements </w:t>
      </w:r>
      <w:r w:rsidRPr="00894A7E">
        <w:rPr>
          <w:b/>
          <w:sz w:val="22"/>
          <w:szCs w:val="22"/>
        </w:rPr>
        <w:t xml:space="preserve">are configured in the measurement object. </w:t>
      </w:r>
    </w:p>
    <w:p w:rsidR="00894A7E" w:rsidRDefault="00894A7E">
      <w:pPr>
        <w:spacing w:after="160" w:line="259" w:lineRule="auto"/>
        <w:rPr>
          <w:b/>
          <w:sz w:val="22"/>
          <w:szCs w:val="22"/>
        </w:rPr>
      </w:pPr>
      <w:r>
        <w:rPr>
          <w:b/>
          <w:sz w:val="22"/>
          <w:szCs w:val="22"/>
        </w:rPr>
        <w:br w:type="page"/>
      </w:r>
    </w:p>
    <w:p w:rsidR="00A618EA" w:rsidRDefault="00A618EA" w:rsidP="00A618EA">
      <w:pPr>
        <w:pStyle w:val="Heading1"/>
        <w:ind w:left="0" w:firstLine="0"/>
        <w:rPr>
          <w:lang w:val="en-US" w:eastAsia="ko-KR"/>
        </w:rPr>
      </w:pPr>
      <w:r>
        <w:rPr>
          <w:lang w:val="en-US" w:eastAsia="ko-KR"/>
        </w:rPr>
        <w:lastRenderedPageBreak/>
        <w:t>3 Conclusions</w:t>
      </w:r>
    </w:p>
    <w:p w:rsidR="00894A7E" w:rsidRDefault="00A618EA" w:rsidP="00A618EA">
      <w:pPr>
        <w:spacing w:before="120" w:after="120"/>
        <w:rPr>
          <w:sz w:val="22"/>
          <w:szCs w:val="22"/>
        </w:rPr>
      </w:pPr>
      <w:r w:rsidRPr="00720016">
        <w:rPr>
          <w:sz w:val="22"/>
          <w:szCs w:val="22"/>
        </w:rPr>
        <w:t>I</w:t>
      </w:r>
      <w:r w:rsidR="00894A7E">
        <w:rPr>
          <w:sz w:val="22"/>
          <w:szCs w:val="22"/>
        </w:rPr>
        <w:t xml:space="preserve">n this contribution, we further discuss the measurement configuration for NR-SS and CSI-RS. </w:t>
      </w:r>
    </w:p>
    <w:p w:rsidR="00F215C0" w:rsidRPr="00330C64" w:rsidRDefault="00F215C0" w:rsidP="00F215C0">
      <w:pPr>
        <w:spacing w:before="120" w:after="120"/>
        <w:jc w:val="both"/>
        <w:rPr>
          <w:b/>
          <w:sz w:val="22"/>
          <w:szCs w:val="22"/>
        </w:rPr>
      </w:pPr>
      <w:r w:rsidRPr="00330C64">
        <w:rPr>
          <w:b/>
          <w:sz w:val="22"/>
          <w:szCs w:val="22"/>
        </w:rPr>
        <w:t>Proposal 1: For inter-frequency measurement, single SMTC is configured as part of the measurement object for the corresponding frequency carrier.</w:t>
      </w:r>
    </w:p>
    <w:p w:rsidR="00F215C0" w:rsidRPr="00330C64" w:rsidRDefault="00F215C0" w:rsidP="00F215C0">
      <w:pPr>
        <w:spacing w:before="120" w:after="120"/>
        <w:jc w:val="both"/>
        <w:rPr>
          <w:b/>
          <w:sz w:val="22"/>
          <w:szCs w:val="22"/>
        </w:rPr>
      </w:pPr>
      <w:r w:rsidRPr="00330C64">
        <w:rPr>
          <w:b/>
          <w:sz w:val="22"/>
          <w:szCs w:val="22"/>
        </w:rPr>
        <w:t xml:space="preserve">Proposal 2: For intra-frequency measurement, single measurement window, duration and up to two measurement window periodicities are configured as part of the measurement object for the serving frequency. </w:t>
      </w:r>
    </w:p>
    <w:p w:rsidR="00F215C0" w:rsidRPr="00330C64" w:rsidRDefault="00F215C0" w:rsidP="00F215C0">
      <w:pPr>
        <w:spacing w:before="120" w:after="120"/>
        <w:jc w:val="both"/>
        <w:rPr>
          <w:b/>
          <w:sz w:val="22"/>
          <w:szCs w:val="22"/>
        </w:rPr>
      </w:pPr>
      <w:r w:rsidRPr="00330C64">
        <w:rPr>
          <w:b/>
          <w:sz w:val="22"/>
          <w:szCs w:val="22"/>
        </w:rPr>
        <w:t>Proposal 3: For intra-frequency measurement</w:t>
      </w:r>
      <w:r>
        <w:rPr>
          <w:b/>
          <w:sz w:val="22"/>
          <w:szCs w:val="22"/>
        </w:rPr>
        <w:t xml:space="preserve"> with two measurement window periodicities</w:t>
      </w:r>
      <w:r w:rsidRPr="00330C64">
        <w:rPr>
          <w:b/>
          <w:sz w:val="22"/>
          <w:szCs w:val="22"/>
        </w:rPr>
        <w:t xml:space="preserve">, longer measurement window periodicity is configured as the default value and the other measurement window periodicity is configured with a lists of cells. </w:t>
      </w:r>
    </w:p>
    <w:p w:rsidR="00F215C0" w:rsidRDefault="00F215C0" w:rsidP="00F215C0">
      <w:pPr>
        <w:spacing w:before="120" w:after="120"/>
        <w:jc w:val="both"/>
        <w:rPr>
          <w:b/>
          <w:sz w:val="22"/>
          <w:szCs w:val="22"/>
        </w:rPr>
      </w:pPr>
      <w:r w:rsidRPr="002B0E87">
        <w:rPr>
          <w:b/>
          <w:sz w:val="22"/>
          <w:szCs w:val="22"/>
        </w:rPr>
        <w:t>Proposal 4: The network asynchronous</w:t>
      </w:r>
      <w:r w:rsidRPr="002B0E87">
        <w:rPr>
          <w:rFonts w:eastAsiaTheme="minorEastAsia" w:hint="eastAsia"/>
          <w:b/>
          <w:sz w:val="22"/>
          <w:szCs w:val="22"/>
          <w:lang w:eastAsia="zh-CN"/>
        </w:rPr>
        <w:t>/</w:t>
      </w:r>
      <w:r w:rsidRPr="002B0E87">
        <w:rPr>
          <w:b/>
          <w:sz w:val="22"/>
          <w:szCs w:val="22"/>
        </w:rPr>
        <w:t xml:space="preserve">synchronous indication is provided in RMSI. </w:t>
      </w:r>
    </w:p>
    <w:p w:rsidR="00F215C0" w:rsidRPr="00371512" w:rsidRDefault="00F215C0" w:rsidP="00F215C0">
      <w:pPr>
        <w:spacing w:before="120" w:after="120"/>
        <w:jc w:val="both"/>
        <w:rPr>
          <w:b/>
          <w:sz w:val="22"/>
          <w:szCs w:val="22"/>
        </w:rPr>
      </w:pPr>
      <w:r w:rsidRPr="00371512">
        <w:rPr>
          <w:b/>
          <w:sz w:val="22"/>
          <w:szCs w:val="22"/>
        </w:rPr>
        <w:t xml:space="preserve">Proposal 5: RAN2 should </w:t>
      </w:r>
      <w:r>
        <w:rPr>
          <w:b/>
          <w:sz w:val="22"/>
          <w:szCs w:val="22"/>
        </w:rPr>
        <w:t>provide configuration for the following properties</w:t>
      </w:r>
      <w:r w:rsidRPr="00371512">
        <w:rPr>
          <w:b/>
          <w:sz w:val="22"/>
          <w:szCs w:val="22"/>
        </w:rPr>
        <w:t xml:space="preserve"> for CSI-RS </w:t>
      </w:r>
      <w:r>
        <w:rPr>
          <w:b/>
          <w:sz w:val="22"/>
          <w:szCs w:val="22"/>
        </w:rPr>
        <w:t>based</w:t>
      </w:r>
      <w:r w:rsidRPr="00371512">
        <w:rPr>
          <w:b/>
          <w:sz w:val="22"/>
          <w:szCs w:val="22"/>
        </w:rPr>
        <w:t xml:space="preserve"> RRM measurement: periodicity, transmission bandwidth, measurement bandwidth, frequency location, parameters for sequence generation, numerology, </w:t>
      </w:r>
      <w:r>
        <w:rPr>
          <w:b/>
          <w:sz w:val="22"/>
          <w:szCs w:val="22"/>
        </w:rPr>
        <w:t>a</w:t>
      </w:r>
      <w:r w:rsidRPr="00371512">
        <w:rPr>
          <w:b/>
          <w:sz w:val="22"/>
          <w:szCs w:val="22"/>
        </w:rPr>
        <w:t xml:space="preserve">ssociation between CSI-RS for RRM measurement and SS block and CSI-RS time/frequency resource. </w:t>
      </w:r>
    </w:p>
    <w:p w:rsidR="00F215C0" w:rsidRDefault="00F215C0" w:rsidP="00F215C0">
      <w:pPr>
        <w:jc w:val="both"/>
        <w:rPr>
          <w:b/>
          <w:sz w:val="22"/>
          <w:szCs w:val="22"/>
        </w:rPr>
      </w:pPr>
      <w:r w:rsidRPr="00BC5CAF">
        <w:rPr>
          <w:b/>
          <w:sz w:val="22"/>
          <w:szCs w:val="22"/>
        </w:rPr>
        <w:t xml:space="preserve">Proposal 6: </w:t>
      </w:r>
      <w:r>
        <w:rPr>
          <w:b/>
          <w:sz w:val="22"/>
          <w:szCs w:val="22"/>
        </w:rPr>
        <w:t>One field in measurement report configuration indicates w</w:t>
      </w:r>
      <w:r w:rsidRPr="00BC5CAF">
        <w:rPr>
          <w:b/>
          <w:sz w:val="22"/>
          <w:szCs w:val="22"/>
        </w:rPr>
        <w:t xml:space="preserve">hether NR-SS or CSI-RS is measured. </w:t>
      </w:r>
    </w:p>
    <w:p w:rsidR="00F215C0" w:rsidRPr="00233F2E" w:rsidRDefault="00F215C0" w:rsidP="00F215C0">
      <w:pPr>
        <w:jc w:val="both"/>
        <w:rPr>
          <w:b/>
          <w:sz w:val="22"/>
          <w:szCs w:val="22"/>
        </w:rPr>
      </w:pPr>
      <w:r w:rsidRPr="00233F2E">
        <w:rPr>
          <w:b/>
          <w:sz w:val="22"/>
          <w:szCs w:val="22"/>
        </w:rPr>
        <w:t xml:space="preserve">Proposal 7: The IE for beam measurement report contains two fields, one indicating no beam reporting or beam identifier only, and the other indicating the reporting quantity for the beam measurement. </w:t>
      </w:r>
    </w:p>
    <w:p w:rsidR="00F215C0" w:rsidRDefault="00F215C0" w:rsidP="00F215C0">
      <w:pPr>
        <w:jc w:val="both"/>
        <w:rPr>
          <w:b/>
          <w:sz w:val="22"/>
          <w:szCs w:val="22"/>
        </w:rPr>
      </w:pPr>
      <w:r w:rsidRPr="00233F2E">
        <w:rPr>
          <w:b/>
          <w:sz w:val="22"/>
          <w:szCs w:val="22"/>
        </w:rPr>
        <w:t xml:space="preserve">Proposal </w:t>
      </w:r>
      <w:r>
        <w:rPr>
          <w:b/>
          <w:sz w:val="22"/>
          <w:szCs w:val="22"/>
        </w:rPr>
        <w:t>8</w:t>
      </w:r>
      <w:r w:rsidRPr="00233F2E">
        <w:rPr>
          <w:b/>
          <w:sz w:val="22"/>
          <w:szCs w:val="22"/>
        </w:rPr>
        <w:t>: The</w:t>
      </w:r>
      <w:r>
        <w:rPr>
          <w:b/>
          <w:sz w:val="22"/>
          <w:szCs w:val="22"/>
        </w:rPr>
        <w:t xml:space="preserve"> numbers of</w:t>
      </w:r>
      <w:r w:rsidRPr="00233F2E">
        <w:rPr>
          <w:b/>
          <w:sz w:val="22"/>
          <w:szCs w:val="22"/>
        </w:rPr>
        <w:t xml:space="preserve"> </w:t>
      </w:r>
      <w:r w:rsidRPr="00894A7E">
        <w:rPr>
          <w:b/>
          <w:sz w:val="22"/>
          <w:szCs w:val="22"/>
        </w:rPr>
        <w:t>x SS blocks and y CSI-RS resources</w:t>
      </w:r>
      <w:r>
        <w:rPr>
          <w:b/>
          <w:sz w:val="22"/>
          <w:szCs w:val="22"/>
        </w:rPr>
        <w:t xml:space="preserve"> to report beam measurements </w:t>
      </w:r>
      <w:r w:rsidRPr="00894A7E">
        <w:rPr>
          <w:b/>
          <w:sz w:val="22"/>
          <w:szCs w:val="22"/>
        </w:rPr>
        <w:t xml:space="preserve">are configured in the measurement object. </w:t>
      </w:r>
    </w:p>
    <w:p w:rsidR="006747EE" w:rsidRDefault="006747EE" w:rsidP="006747EE">
      <w:pPr>
        <w:pStyle w:val="Heading1"/>
        <w:ind w:left="0" w:firstLine="0"/>
        <w:rPr>
          <w:b/>
        </w:rPr>
      </w:pPr>
      <w:r>
        <w:rPr>
          <w:lang w:val="en-US" w:eastAsia="ko-KR"/>
        </w:rPr>
        <w:t>4 Reference</w:t>
      </w:r>
    </w:p>
    <w:p w:rsidR="0004544A" w:rsidRDefault="006747EE" w:rsidP="00326AF7">
      <w:pPr>
        <w:rPr>
          <w:sz w:val="22"/>
          <w:szCs w:val="22"/>
          <w:lang w:eastAsia="zh-CN"/>
        </w:rPr>
      </w:pPr>
      <w:r w:rsidRPr="00720016">
        <w:rPr>
          <w:sz w:val="22"/>
          <w:szCs w:val="22"/>
          <w:lang w:eastAsia="zh-CN"/>
        </w:rPr>
        <w:t xml:space="preserve">[1] </w:t>
      </w:r>
      <w:r w:rsidR="00667C4F" w:rsidRPr="00667C4F">
        <w:rPr>
          <w:sz w:val="22"/>
          <w:szCs w:val="22"/>
          <w:lang w:eastAsia="zh-CN"/>
        </w:rPr>
        <w:t>R1-17</w:t>
      </w:r>
      <w:r w:rsidR="00667C4F" w:rsidRPr="00667C4F">
        <w:rPr>
          <w:rFonts w:hint="eastAsia"/>
          <w:sz w:val="22"/>
          <w:szCs w:val="22"/>
          <w:lang w:eastAsia="zh-CN"/>
        </w:rPr>
        <w:t>12001</w:t>
      </w:r>
      <w:r w:rsidR="00877994" w:rsidRPr="00720016">
        <w:rPr>
          <w:sz w:val="22"/>
          <w:szCs w:val="22"/>
          <w:lang w:eastAsia="zh-CN"/>
        </w:rPr>
        <w:t xml:space="preserve">, </w:t>
      </w:r>
      <w:r w:rsidR="00667C4F" w:rsidRPr="00667C4F">
        <w:rPr>
          <w:rFonts w:hint="eastAsia"/>
          <w:sz w:val="22"/>
          <w:szCs w:val="22"/>
          <w:lang w:eastAsia="zh-CN"/>
        </w:rPr>
        <w:t>LS on NR initial access and mobility</w:t>
      </w:r>
    </w:p>
    <w:p w:rsidR="006747EE" w:rsidRPr="00876C30" w:rsidRDefault="00877994" w:rsidP="0004544A">
      <w:pPr>
        <w:rPr>
          <w:sz w:val="22"/>
          <w:szCs w:val="22"/>
          <w:lang w:eastAsia="zh-CN"/>
        </w:rPr>
      </w:pPr>
      <w:r w:rsidRPr="00720016">
        <w:rPr>
          <w:sz w:val="22"/>
          <w:szCs w:val="22"/>
          <w:lang w:eastAsia="zh-CN"/>
        </w:rPr>
        <w:t xml:space="preserve">[2] </w:t>
      </w:r>
      <w:r w:rsidR="00876C30" w:rsidRPr="00876C30">
        <w:rPr>
          <w:sz w:val="22"/>
          <w:szCs w:val="22"/>
          <w:lang w:eastAsia="zh-CN"/>
        </w:rPr>
        <w:t>R1-1711966</w:t>
      </w:r>
      <w:r w:rsidR="00326AF7" w:rsidRPr="00720016">
        <w:rPr>
          <w:sz w:val="22"/>
          <w:szCs w:val="22"/>
          <w:lang w:eastAsia="zh-CN"/>
        </w:rPr>
        <w:t>,</w:t>
      </w:r>
      <w:r w:rsidR="00720016">
        <w:rPr>
          <w:sz w:val="22"/>
          <w:szCs w:val="22"/>
          <w:lang w:eastAsia="zh-CN"/>
        </w:rPr>
        <w:t xml:space="preserve"> </w:t>
      </w:r>
      <w:r w:rsidR="00876C30" w:rsidRPr="00876C30">
        <w:rPr>
          <w:sz w:val="22"/>
          <w:szCs w:val="22"/>
          <w:lang w:eastAsia="zh-CN"/>
        </w:rPr>
        <w:t>Reply LS response on reading time index indication for RRM measurements</w:t>
      </w:r>
    </w:p>
    <w:sectPr w:rsidR="006747EE" w:rsidRPr="00876C3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61B5" w:rsidRDefault="00A761B5" w:rsidP="009C580B">
      <w:pPr>
        <w:spacing w:after="0"/>
      </w:pPr>
      <w:r>
        <w:separator/>
      </w:r>
    </w:p>
  </w:endnote>
  <w:endnote w:type="continuationSeparator" w:id="0">
    <w:p w:rsidR="00A761B5" w:rsidRDefault="00A761B5" w:rsidP="009C58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61B5" w:rsidRDefault="00A761B5" w:rsidP="009C580B">
      <w:pPr>
        <w:spacing w:after="0"/>
      </w:pPr>
      <w:r>
        <w:separator/>
      </w:r>
    </w:p>
  </w:footnote>
  <w:footnote w:type="continuationSeparator" w:id="0">
    <w:p w:rsidR="00A761B5" w:rsidRDefault="00A761B5" w:rsidP="009C580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0073D"/>
    <w:multiLevelType w:val="hybridMultilevel"/>
    <w:tmpl w:val="CFBA95E8"/>
    <w:lvl w:ilvl="0" w:tplc="4D562A80">
      <w:start w:val="1"/>
      <w:numFmt w:val="bullet"/>
      <w:lvlText w:val="•"/>
      <w:lvlJc w:val="left"/>
      <w:pPr>
        <w:tabs>
          <w:tab w:val="num" w:pos="360"/>
        </w:tabs>
        <w:ind w:left="360" w:hanging="360"/>
      </w:pPr>
      <w:rPr>
        <w:rFonts w:ascii="Arial" w:hAnsi="Arial" w:hint="default"/>
      </w:rPr>
    </w:lvl>
    <w:lvl w:ilvl="1" w:tplc="F78EB670">
      <w:start w:val="2960"/>
      <w:numFmt w:val="bullet"/>
      <w:lvlText w:val="–"/>
      <w:lvlJc w:val="left"/>
      <w:pPr>
        <w:tabs>
          <w:tab w:val="num" w:pos="1080"/>
        </w:tabs>
        <w:ind w:left="1080" w:hanging="360"/>
      </w:pPr>
      <w:rPr>
        <w:rFonts w:ascii="Arial" w:hAnsi="Arial" w:hint="default"/>
      </w:rPr>
    </w:lvl>
    <w:lvl w:ilvl="2" w:tplc="57E6983E" w:tentative="1">
      <w:start w:val="1"/>
      <w:numFmt w:val="bullet"/>
      <w:lvlText w:val="•"/>
      <w:lvlJc w:val="left"/>
      <w:pPr>
        <w:tabs>
          <w:tab w:val="num" w:pos="1800"/>
        </w:tabs>
        <w:ind w:left="1800" w:hanging="360"/>
      </w:pPr>
      <w:rPr>
        <w:rFonts w:ascii="Arial" w:hAnsi="Arial" w:hint="default"/>
      </w:rPr>
    </w:lvl>
    <w:lvl w:ilvl="3" w:tplc="273ED4AC" w:tentative="1">
      <w:start w:val="1"/>
      <w:numFmt w:val="bullet"/>
      <w:lvlText w:val="•"/>
      <w:lvlJc w:val="left"/>
      <w:pPr>
        <w:tabs>
          <w:tab w:val="num" w:pos="2520"/>
        </w:tabs>
        <w:ind w:left="2520" w:hanging="360"/>
      </w:pPr>
      <w:rPr>
        <w:rFonts w:ascii="Arial" w:hAnsi="Arial" w:hint="default"/>
      </w:rPr>
    </w:lvl>
    <w:lvl w:ilvl="4" w:tplc="792894BC" w:tentative="1">
      <w:start w:val="1"/>
      <w:numFmt w:val="bullet"/>
      <w:lvlText w:val="•"/>
      <w:lvlJc w:val="left"/>
      <w:pPr>
        <w:tabs>
          <w:tab w:val="num" w:pos="3240"/>
        </w:tabs>
        <w:ind w:left="3240" w:hanging="360"/>
      </w:pPr>
      <w:rPr>
        <w:rFonts w:ascii="Arial" w:hAnsi="Arial" w:hint="default"/>
      </w:rPr>
    </w:lvl>
    <w:lvl w:ilvl="5" w:tplc="6CCE9C70" w:tentative="1">
      <w:start w:val="1"/>
      <w:numFmt w:val="bullet"/>
      <w:lvlText w:val="•"/>
      <w:lvlJc w:val="left"/>
      <w:pPr>
        <w:tabs>
          <w:tab w:val="num" w:pos="3960"/>
        </w:tabs>
        <w:ind w:left="3960" w:hanging="360"/>
      </w:pPr>
      <w:rPr>
        <w:rFonts w:ascii="Arial" w:hAnsi="Arial" w:hint="default"/>
      </w:rPr>
    </w:lvl>
    <w:lvl w:ilvl="6" w:tplc="F7169D32" w:tentative="1">
      <w:start w:val="1"/>
      <w:numFmt w:val="bullet"/>
      <w:lvlText w:val="•"/>
      <w:lvlJc w:val="left"/>
      <w:pPr>
        <w:tabs>
          <w:tab w:val="num" w:pos="4680"/>
        </w:tabs>
        <w:ind w:left="4680" w:hanging="360"/>
      </w:pPr>
      <w:rPr>
        <w:rFonts w:ascii="Arial" w:hAnsi="Arial" w:hint="default"/>
      </w:rPr>
    </w:lvl>
    <w:lvl w:ilvl="7" w:tplc="00D4349E" w:tentative="1">
      <w:start w:val="1"/>
      <w:numFmt w:val="bullet"/>
      <w:lvlText w:val="•"/>
      <w:lvlJc w:val="left"/>
      <w:pPr>
        <w:tabs>
          <w:tab w:val="num" w:pos="5400"/>
        </w:tabs>
        <w:ind w:left="5400" w:hanging="360"/>
      </w:pPr>
      <w:rPr>
        <w:rFonts w:ascii="Arial" w:hAnsi="Arial" w:hint="default"/>
      </w:rPr>
    </w:lvl>
    <w:lvl w:ilvl="8" w:tplc="20A22904"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189239A"/>
    <w:multiLevelType w:val="hybridMultilevel"/>
    <w:tmpl w:val="8B420744"/>
    <w:lvl w:ilvl="0" w:tplc="6C741726">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7B422B3"/>
    <w:multiLevelType w:val="multilevel"/>
    <w:tmpl w:val="F8D24682"/>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BB960DB"/>
    <w:multiLevelType w:val="hybridMultilevel"/>
    <w:tmpl w:val="0324DBA0"/>
    <w:lvl w:ilvl="0" w:tplc="46520E02">
      <w:start w:val="1"/>
      <w:numFmt w:val="bullet"/>
      <w:lvlText w:val="•"/>
      <w:lvlJc w:val="left"/>
      <w:pPr>
        <w:tabs>
          <w:tab w:val="num" w:pos="720"/>
        </w:tabs>
        <w:ind w:left="720" w:hanging="360"/>
      </w:pPr>
      <w:rPr>
        <w:rFonts w:ascii="Arial" w:hAnsi="Arial" w:hint="default"/>
      </w:rPr>
    </w:lvl>
    <w:lvl w:ilvl="1" w:tplc="DDD256D4">
      <w:start w:val="2048"/>
      <w:numFmt w:val="bullet"/>
      <w:lvlText w:val="–"/>
      <w:lvlJc w:val="left"/>
      <w:pPr>
        <w:tabs>
          <w:tab w:val="num" w:pos="1440"/>
        </w:tabs>
        <w:ind w:left="1440" w:hanging="360"/>
      </w:pPr>
      <w:rPr>
        <w:rFonts w:ascii="Arial" w:hAnsi="Arial" w:hint="default"/>
      </w:rPr>
    </w:lvl>
    <w:lvl w:ilvl="2" w:tplc="65529936" w:tentative="1">
      <w:start w:val="1"/>
      <w:numFmt w:val="bullet"/>
      <w:lvlText w:val="•"/>
      <w:lvlJc w:val="left"/>
      <w:pPr>
        <w:tabs>
          <w:tab w:val="num" w:pos="2160"/>
        </w:tabs>
        <w:ind w:left="2160" w:hanging="360"/>
      </w:pPr>
      <w:rPr>
        <w:rFonts w:ascii="Arial" w:hAnsi="Arial" w:hint="default"/>
      </w:rPr>
    </w:lvl>
    <w:lvl w:ilvl="3" w:tplc="5C468254" w:tentative="1">
      <w:start w:val="1"/>
      <w:numFmt w:val="bullet"/>
      <w:lvlText w:val="•"/>
      <w:lvlJc w:val="left"/>
      <w:pPr>
        <w:tabs>
          <w:tab w:val="num" w:pos="2880"/>
        </w:tabs>
        <w:ind w:left="2880" w:hanging="360"/>
      </w:pPr>
      <w:rPr>
        <w:rFonts w:ascii="Arial" w:hAnsi="Arial" w:hint="default"/>
      </w:rPr>
    </w:lvl>
    <w:lvl w:ilvl="4" w:tplc="706C48CE" w:tentative="1">
      <w:start w:val="1"/>
      <w:numFmt w:val="bullet"/>
      <w:lvlText w:val="•"/>
      <w:lvlJc w:val="left"/>
      <w:pPr>
        <w:tabs>
          <w:tab w:val="num" w:pos="3600"/>
        </w:tabs>
        <w:ind w:left="3600" w:hanging="360"/>
      </w:pPr>
      <w:rPr>
        <w:rFonts w:ascii="Arial" w:hAnsi="Arial" w:hint="default"/>
      </w:rPr>
    </w:lvl>
    <w:lvl w:ilvl="5" w:tplc="7A58DE5E" w:tentative="1">
      <w:start w:val="1"/>
      <w:numFmt w:val="bullet"/>
      <w:lvlText w:val="•"/>
      <w:lvlJc w:val="left"/>
      <w:pPr>
        <w:tabs>
          <w:tab w:val="num" w:pos="4320"/>
        </w:tabs>
        <w:ind w:left="4320" w:hanging="360"/>
      </w:pPr>
      <w:rPr>
        <w:rFonts w:ascii="Arial" w:hAnsi="Arial" w:hint="default"/>
      </w:rPr>
    </w:lvl>
    <w:lvl w:ilvl="6" w:tplc="72FC9E2A" w:tentative="1">
      <w:start w:val="1"/>
      <w:numFmt w:val="bullet"/>
      <w:lvlText w:val="•"/>
      <w:lvlJc w:val="left"/>
      <w:pPr>
        <w:tabs>
          <w:tab w:val="num" w:pos="5040"/>
        </w:tabs>
        <w:ind w:left="5040" w:hanging="360"/>
      </w:pPr>
      <w:rPr>
        <w:rFonts w:ascii="Arial" w:hAnsi="Arial" w:hint="default"/>
      </w:rPr>
    </w:lvl>
    <w:lvl w:ilvl="7" w:tplc="4E9C4006" w:tentative="1">
      <w:start w:val="1"/>
      <w:numFmt w:val="bullet"/>
      <w:lvlText w:val="•"/>
      <w:lvlJc w:val="left"/>
      <w:pPr>
        <w:tabs>
          <w:tab w:val="num" w:pos="5760"/>
        </w:tabs>
        <w:ind w:left="5760" w:hanging="360"/>
      </w:pPr>
      <w:rPr>
        <w:rFonts w:ascii="Arial" w:hAnsi="Arial" w:hint="default"/>
      </w:rPr>
    </w:lvl>
    <w:lvl w:ilvl="8" w:tplc="B182371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D5C3E85"/>
    <w:multiLevelType w:val="multilevel"/>
    <w:tmpl w:val="594AE51E"/>
    <w:lvl w:ilvl="0">
      <w:start w:val="2"/>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FEA4827"/>
    <w:multiLevelType w:val="hybridMultilevel"/>
    <w:tmpl w:val="77AA5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9F67C9"/>
    <w:multiLevelType w:val="hybridMultilevel"/>
    <w:tmpl w:val="888831B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3E8189D"/>
    <w:multiLevelType w:val="hybridMultilevel"/>
    <w:tmpl w:val="745C4DDA"/>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353D1837"/>
    <w:multiLevelType w:val="hybridMultilevel"/>
    <w:tmpl w:val="2CF05DAC"/>
    <w:lvl w:ilvl="0" w:tplc="71A064F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740B6F"/>
    <w:multiLevelType w:val="hybridMultilevel"/>
    <w:tmpl w:val="CADA9A98"/>
    <w:lvl w:ilvl="0" w:tplc="35743094">
      <w:start w:val="1"/>
      <w:numFmt w:val="bullet"/>
      <w:lvlText w:val="•"/>
      <w:lvlJc w:val="left"/>
      <w:pPr>
        <w:tabs>
          <w:tab w:val="num" w:pos="720"/>
        </w:tabs>
        <w:ind w:left="720" w:hanging="360"/>
      </w:pPr>
      <w:rPr>
        <w:rFonts w:ascii="Arial" w:hAnsi="Arial" w:hint="default"/>
      </w:rPr>
    </w:lvl>
    <w:lvl w:ilvl="1" w:tplc="18025218">
      <w:start w:val="1"/>
      <w:numFmt w:val="bullet"/>
      <w:lvlText w:val="•"/>
      <w:lvlJc w:val="left"/>
      <w:pPr>
        <w:tabs>
          <w:tab w:val="num" w:pos="1440"/>
        </w:tabs>
        <w:ind w:left="1440" w:hanging="360"/>
      </w:pPr>
      <w:rPr>
        <w:rFonts w:ascii="Arial" w:hAnsi="Arial" w:hint="default"/>
      </w:rPr>
    </w:lvl>
    <w:lvl w:ilvl="2" w:tplc="F5821CDC">
      <w:start w:val="1"/>
      <w:numFmt w:val="bullet"/>
      <w:lvlText w:val="•"/>
      <w:lvlJc w:val="left"/>
      <w:pPr>
        <w:tabs>
          <w:tab w:val="num" w:pos="2160"/>
        </w:tabs>
        <w:ind w:left="2160" w:hanging="360"/>
      </w:pPr>
      <w:rPr>
        <w:rFonts w:ascii="Arial" w:hAnsi="Arial" w:hint="default"/>
      </w:rPr>
    </w:lvl>
    <w:lvl w:ilvl="3" w:tplc="A7585082" w:tentative="1">
      <w:start w:val="1"/>
      <w:numFmt w:val="bullet"/>
      <w:lvlText w:val="•"/>
      <w:lvlJc w:val="left"/>
      <w:pPr>
        <w:tabs>
          <w:tab w:val="num" w:pos="2880"/>
        </w:tabs>
        <w:ind w:left="2880" w:hanging="360"/>
      </w:pPr>
      <w:rPr>
        <w:rFonts w:ascii="Arial" w:hAnsi="Arial" w:hint="default"/>
      </w:rPr>
    </w:lvl>
    <w:lvl w:ilvl="4" w:tplc="E8746876" w:tentative="1">
      <w:start w:val="1"/>
      <w:numFmt w:val="bullet"/>
      <w:lvlText w:val="•"/>
      <w:lvlJc w:val="left"/>
      <w:pPr>
        <w:tabs>
          <w:tab w:val="num" w:pos="3600"/>
        </w:tabs>
        <w:ind w:left="3600" w:hanging="360"/>
      </w:pPr>
      <w:rPr>
        <w:rFonts w:ascii="Arial" w:hAnsi="Arial" w:hint="default"/>
      </w:rPr>
    </w:lvl>
    <w:lvl w:ilvl="5" w:tplc="FAC03056" w:tentative="1">
      <w:start w:val="1"/>
      <w:numFmt w:val="bullet"/>
      <w:lvlText w:val="•"/>
      <w:lvlJc w:val="left"/>
      <w:pPr>
        <w:tabs>
          <w:tab w:val="num" w:pos="4320"/>
        </w:tabs>
        <w:ind w:left="4320" w:hanging="360"/>
      </w:pPr>
      <w:rPr>
        <w:rFonts w:ascii="Arial" w:hAnsi="Arial" w:hint="default"/>
      </w:rPr>
    </w:lvl>
    <w:lvl w:ilvl="6" w:tplc="A71C46D0" w:tentative="1">
      <w:start w:val="1"/>
      <w:numFmt w:val="bullet"/>
      <w:lvlText w:val="•"/>
      <w:lvlJc w:val="left"/>
      <w:pPr>
        <w:tabs>
          <w:tab w:val="num" w:pos="5040"/>
        </w:tabs>
        <w:ind w:left="5040" w:hanging="360"/>
      </w:pPr>
      <w:rPr>
        <w:rFonts w:ascii="Arial" w:hAnsi="Arial" w:hint="default"/>
      </w:rPr>
    </w:lvl>
    <w:lvl w:ilvl="7" w:tplc="1592F386" w:tentative="1">
      <w:start w:val="1"/>
      <w:numFmt w:val="bullet"/>
      <w:lvlText w:val="•"/>
      <w:lvlJc w:val="left"/>
      <w:pPr>
        <w:tabs>
          <w:tab w:val="num" w:pos="5760"/>
        </w:tabs>
        <w:ind w:left="5760" w:hanging="360"/>
      </w:pPr>
      <w:rPr>
        <w:rFonts w:ascii="Arial" w:hAnsi="Arial" w:hint="default"/>
      </w:rPr>
    </w:lvl>
    <w:lvl w:ilvl="8" w:tplc="F71A69B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8334698"/>
    <w:multiLevelType w:val="multilevel"/>
    <w:tmpl w:val="F8D24682"/>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8E91193"/>
    <w:multiLevelType w:val="hybridMultilevel"/>
    <w:tmpl w:val="7FBCCC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EF87EE0"/>
    <w:multiLevelType w:val="hybridMultilevel"/>
    <w:tmpl w:val="47D88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1F2FE1"/>
    <w:multiLevelType w:val="hybridMultilevel"/>
    <w:tmpl w:val="426ED4DC"/>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DB5277"/>
    <w:multiLevelType w:val="hybridMultilevel"/>
    <w:tmpl w:val="E8E05C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364CF2"/>
    <w:multiLevelType w:val="hybridMultilevel"/>
    <w:tmpl w:val="2884A8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6440BB"/>
    <w:multiLevelType w:val="hybridMultilevel"/>
    <w:tmpl w:val="F74E1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A83E53"/>
    <w:multiLevelType w:val="hybridMultilevel"/>
    <w:tmpl w:val="89FE77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B6450D"/>
    <w:multiLevelType w:val="hybridMultilevel"/>
    <w:tmpl w:val="8B92D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DA0A2F"/>
    <w:multiLevelType w:val="hybridMultilevel"/>
    <w:tmpl w:val="C2B05760"/>
    <w:lvl w:ilvl="0" w:tplc="6C28A352">
      <w:start w:val="1"/>
      <w:numFmt w:val="bullet"/>
      <w:lvlText w:val="•"/>
      <w:lvlJc w:val="left"/>
      <w:pPr>
        <w:tabs>
          <w:tab w:val="num" w:pos="720"/>
        </w:tabs>
        <w:ind w:left="720" w:hanging="360"/>
      </w:pPr>
      <w:rPr>
        <w:rFonts w:ascii="Arial" w:hAnsi="Arial" w:hint="default"/>
      </w:rPr>
    </w:lvl>
    <w:lvl w:ilvl="1" w:tplc="1DB6120C">
      <w:start w:val="1648"/>
      <w:numFmt w:val="bullet"/>
      <w:lvlText w:val="–"/>
      <w:lvlJc w:val="left"/>
      <w:pPr>
        <w:tabs>
          <w:tab w:val="num" w:pos="1440"/>
        </w:tabs>
        <w:ind w:left="1440" w:hanging="360"/>
      </w:pPr>
      <w:rPr>
        <w:rFonts w:ascii="Arial" w:hAnsi="Arial" w:hint="default"/>
      </w:rPr>
    </w:lvl>
    <w:lvl w:ilvl="2" w:tplc="C5FCDFC2">
      <w:start w:val="1648"/>
      <w:numFmt w:val="bullet"/>
      <w:lvlText w:val="•"/>
      <w:lvlJc w:val="left"/>
      <w:pPr>
        <w:tabs>
          <w:tab w:val="num" w:pos="2160"/>
        </w:tabs>
        <w:ind w:left="2160" w:hanging="360"/>
      </w:pPr>
      <w:rPr>
        <w:rFonts w:ascii="Arial" w:hAnsi="Arial" w:hint="default"/>
      </w:rPr>
    </w:lvl>
    <w:lvl w:ilvl="3" w:tplc="A73AECEE">
      <w:start w:val="1648"/>
      <w:numFmt w:val="bullet"/>
      <w:lvlText w:val="–"/>
      <w:lvlJc w:val="left"/>
      <w:pPr>
        <w:tabs>
          <w:tab w:val="num" w:pos="2880"/>
        </w:tabs>
        <w:ind w:left="2880" w:hanging="360"/>
      </w:pPr>
      <w:rPr>
        <w:rFonts w:ascii="Arial" w:hAnsi="Arial" w:hint="default"/>
      </w:rPr>
    </w:lvl>
    <w:lvl w:ilvl="4" w:tplc="1CB4AF50" w:tentative="1">
      <w:start w:val="1"/>
      <w:numFmt w:val="bullet"/>
      <w:lvlText w:val="•"/>
      <w:lvlJc w:val="left"/>
      <w:pPr>
        <w:tabs>
          <w:tab w:val="num" w:pos="3600"/>
        </w:tabs>
        <w:ind w:left="3600" w:hanging="360"/>
      </w:pPr>
      <w:rPr>
        <w:rFonts w:ascii="Arial" w:hAnsi="Arial" w:hint="default"/>
      </w:rPr>
    </w:lvl>
    <w:lvl w:ilvl="5" w:tplc="059CB318" w:tentative="1">
      <w:start w:val="1"/>
      <w:numFmt w:val="bullet"/>
      <w:lvlText w:val="•"/>
      <w:lvlJc w:val="left"/>
      <w:pPr>
        <w:tabs>
          <w:tab w:val="num" w:pos="4320"/>
        </w:tabs>
        <w:ind w:left="4320" w:hanging="360"/>
      </w:pPr>
      <w:rPr>
        <w:rFonts w:ascii="Arial" w:hAnsi="Arial" w:hint="default"/>
      </w:rPr>
    </w:lvl>
    <w:lvl w:ilvl="6" w:tplc="0E3ED1E6" w:tentative="1">
      <w:start w:val="1"/>
      <w:numFmt w:val="bullet"/>
      <w:lvlText w:val="•"/>
      <w:lvlJc w:val="left"/>
      <w:pPr>
        <w:tabs>
          <w:tab w:val="num" w:pos="5040"/>
        </w:tabs>
        <w:ind w:left="5040" w:hanging="360"/>
      </w:pPr>
      <w:rPr>
        <w:rFonts w:ascii="Arial" w:hAnsi="Arial" w:hint="default"/>
      </w:rPr>
    </w:lvl>
    <w:lvl w:ilvl="7" w:tplc="15DE5C2A" w:tentative="1">
      <w:start w:val="1"/>
      <w:numFmt w:val="bullet"/>
      <w:lvlText w:val="•"/>
      <w:lvlJc w:val="left"/>
      <w:pPr>
        <w:tabs>
          <w:tab w:val="num" w:pos="5760"/>
        </w:tabs>
        <w:ind w:left="5760" w:hanging="360"/>
      </w:pPr>
      <w:rPr>
        <w:rFonts w:ascii="Arial" w:hAnsi="Arial" w:hint="default"/>
      </w:rPr>
    </w:lvl>
    <w:lvl w:ilvl="8" w:tplc="264204F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5E45224"/>
    <w:multiLevelType w:val="hybridMultilevel"/>
    <w:tmpl w:val="E9B2CE2A"/>
    <w:lvl w:ilvl="0" w:tplc="BAA8334C">
      <w:start w:val="1"/>
      <w:numFmt w:val="bullet"/>
      <w:lvlText w:val="•"/>
      <w:lvlJc w:val="left"/>
      <w:pPr>
        <w:tabs>
          <w:tab w:val="num" w:pos="720"/>
        </w:tabs>
        <w:ind w:left="720" w:hanging="360"/>
      </w:pPr>
      <w:rPr>
        <w:rFonts w:ascii="Arial" w:hAnsi="Arial" w:hint="default"/>
      </w:rPr>
    </w:lvl>
    <w:lvl w:ilvl="1" w:tplc="38CC42D4">
      <w:start w:val="1647"/>
      <w:numFmt w:val="bullet"/>
      <w:lvlText w:val="–"/>
      <w:lvlJc w:val="left"/>
      <w:pPr>
        <w:tabs>
          <w:tab w:val="num" w:pos="1440"/>
        </w:tabs>
        <w:ind w:left="1440" w:hanging="360"/>
      </w:pPr>
      <w:rPr>
        <w:rFonts w:ascii="Arial" w:hAnsi="Arial" w:hint="default"/>
      </w:rPr>
    </w:lvl>
    <w:lvl w:ilvl="2" w:tplc="359896B4">
      <w:start w:val="1647"/>
      <w:numFmt w:val="bullet"/>
      <w:lvlText w:val="•"/>
      <w:lvlJc w:val="left"/>
      <w:pPr>
        <w:tabs>
          <w:tab w:val="num" w:pos="2160"/>
        </w:tabs>
        <w:ind w:left="2160" w:hanging="360"/>
      </w:pPr>
      <w:rPr>
        <w:rFonts w:ascii="Arial" w:hAnsi="Arial" w:hint="default"/>
      </w:rPr>
    </w:lvl>
    <w:lvl w:ilvl="3" w:tplc="F912C566">
      <w:start w:val="1"/>
      <w:numFmt w:val="bullet"/>
      <w:lvlText w:val="•"/>
      <w:lvlJc w:val="left"/>
      <w:pPr>
        <w:tabs>
          <w:tab w:val="num" w:pos="2880"/>
        </w:tabs>
        <w:ind w:left="2880" w:hanging="360"/>
      </w:pPr>
      <w:rPr>
        <w:rFonts w:ascii="Arial" w:hAnsi="Arial" w:hint="default"/>
      </w:rPr>
    </w:lvl>
    <w:lvl w:ilvl="4" w:tplc="96689870" w:tentative="1">
      <w:start w:val="1"/>
      <w:numFmt w:val="bullet"/>
      <w:lvlText w:val="•"/>
      <w:lvlJc w:val="left"/>
      <w:pPr>
        <w:tabs>
          <w:tab w:val="num" w:pos="3600"/>
        </w:tabs>
        <w:ind w:left="3600" w:hanging="360"/>
      </w:pPr>
      <w:rPr>
        <w:rFonts w:ascii="Arial" w:hAnsi="Arial" w:hint="default"/>
      </w:rPr>
    </w:lvl>
    <w:lvl w:ilvl="5" w:tplc="7764D8F4" w:tentative="1">
      <w:start w:val="1"/>
      <w:numFmt w:val="bullet"/>
      <w:lvlText w:val="•"/>
      <w:lvlJc w:val="left"/>
      <w:pPr>
        <w:tabs>
          <w:tab w:val="num" w:pos="4320"/>
        </w:tabs>
        <w:ind w:left="4320" w:hanging="360"/>
      </w:pPr>
      <w:rPr>
        <w:rFonts w:ascii="Arial" w:hAnsi="Arial" w:hint="default"/>
      </w:rPr>
    </w:lvl>
    <w:lvl w:ilvl="6" w:tplc="99EEED76" w:tentative="1">
      <w:start w:val="1"/>
      <w:numFmt w:val="bullet"/>
      <w:lvlText w:val="•"/>
      <w:lvlJc w:val="left"/>
      <w:pPr>
        <w:tabs>
          <w:tab w:val="num" w:pos="5040"/>
        </w:tabs>
        <w:ind w:left="5040" w:hanging="360"/>
      </w:pPr>
      <w:rPr>
        <w:rFonts w:ascii="Arial" w:hAnsi="Arial" w:hint="default"/>
      </w:rPr>
    </w:lvl>
    <w:lvl w:ilvl="7" w:tplc="5240B37C" w:tentative="1">
      <w:start w:val="1"/>
      <w:numFmt w:val="bullet"/>
      <w:lvlText w:val="•"/>
      <w:lvlJc w:val="left"/>
      <w:pPr>
        <w:tabs>
          <w:tab w:val="num" w:pos="5760"/>
        </w:tabs>
        <w:ind w:left="5760" w:hanging="360"/>
      </w:pPr>
      <w:rPr>
        <w:rFonts w:ascii="Arial" w:hAnsi="Arial" w:hint="default"/>
      </w:rPr>
    </w:lvl>
    <w:lvl w:ilvl="8" w:tplc="240A005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B297B27"/>
    <w:multiLevelType w:val="hybridMultilevel"/>
    <w:tmpl w:val="A7F86D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7EC128B"/>
    <w:multiLevelType w:val="multilevel"/>
    <w:tmpl w:val="3E78CB20"/>
    <w:lvl w:ilvl="0">
      <w:start w:val="1"/>
      <w:numFmt w:val="bullet"/>
      <w:lvlText w:val=""/>
      <w:lvlJc w:val="left"/>
      <w:pPr>
        <w:ind w:left="360" w:hanging="360"/>
      </w:pPr>
      <w:rPr>
        <w:rFonts w:ascii="Symbol" w:hAnsi="Symbol"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4" w15:restartNumberingAfterBreak="0">
    <w:nsid w:val="6A1B50C1"/>
    <w:multiLevelType w:val="hybridMultilevel"/>
    <w:tmpl w:val="8F24CE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2A4A3F"/>
    <w:multiLevelType w:val="hybridMultilevel"/>
    <w:tmpl w:val="352C23D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702499F"/>
    <w:multiLevelType w:val="hybridMultilevel"/>
    <w:tmpl w:val="27928F0C"/>
    <w:lvl w:ilvl="0" w:tplc="24589F4C">
      <w:start w:val="1"/>
      <w:numFmt w:val="bullet"/>
      <w:lvlText w:val="•"/>
      <w:lvlJc w:val="left"/>
      <w:pPr>
        <w:tabs>
          <w:tab w:val="num" w:pos="720"/>
        </w:tabs>
        <w:ind w:left="720" w:hanging="360"/>
      </w:pPr>
      <w:rPr>
        <w:rFonts w:ascii="Arial" w:hAnsi="Arial"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7D31C02"/>
    <w:multiLevelType w:val="hybridMultilevel"/>
    <w:tmpl w:val="3C7A919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97A1EF7"/>
    <w:multiLevelType w:val="hybridMultilevel"/>
    <w:tmpl w:val="601C89C0"/>
    <w:lvl w:ilvl="0" w:tplc="127688B0">
      <w:start w:val="1"/>
      <w:numFmt w:val="bullet"/>
      <w:lvlText w:val="•"/>
      <w:lvlJc w:val="left"/>
      <w:pPr>
        <w:tabs>
          <w:tab w:val="num" w:pos="720"/>
        </w:tabs>
        <w:ind w:left="720" w:hanging="360"/>
      </w:pPr>
      <w:rPr>
        <w:rFonts w:ascii="Arial" w:hAnsi="Arial" w:hint="default"/>
      </w:rPr>
    </w:lvl>
    <w:lvl w:ilvl="1" w:tplc="2740252A">
      <w:start w:val="242"/>
      <w:numFmt w:val="bullet"/>
      <w:lvlText w:val="•"/>
      <w:lvlJc w:val="left"/>
      <w:pPr>
        <w:tabs>
          <w:tab w:val="num" w:pos="1440"/>
        </w:tabs>
        <w:ind w:left="1440" w:hanging="360"/>
      </w:pPr>
      <w:rPr>
        <w:rFonts w:ascii="Arial" w:hAnsi="Arial" w:hint="default"/>
      </w:rPr>
    </w:lvl>
    <w:lvl w:ilvl="2" w:tplc="3D7E9FE2">
      <w:start w:val="242"/>
      <w:numFmt w:val="bullet"/>
      <w:lvlText w:val="•"/>
      <w:lvlJc w:val="left"/>
      <w:pPr>
        <w:tabs>
          <w:tab w:val="num" w:pos="2160"/>
        </w:tabs>
        <w:ind w:left="2160" w:hanging="360"/>
      </w:pPr>
      <w:rPr>
        <w:rFonts w:ascii="Arial" w:hAnsi="Arial" w:hint="default"/>
      </w:rPr>
    </w:lvl>
    <w:lvl w:ilvl="3" w:tplc="3D206D28">
      <w:start w:val="242"/>
      <w:numFmt w:val="bullet"/>
      <w:lvlText w:val="•"/>
      <w:lvlJc w:val="left"/>
      <w:pPr>
        <w:tabs>
          <w:tab w:val="num" w:pos="2880"/>
        </w:tabs>
        <w:ind w:left="2880" w:hanging="360"/>
      </w:pPr>
      <w:rPr>
        <w:rFonts w:ascii="Arial" w:hAnsi="Arial" w:hint="default"/>
      </w:rPr>
    </w:lvl>
    <w:lvl w:ilvl="4" w:tplc="301AA90C">
      <w:start w:val="1"/>
      <w:numFmt w:val="bullet"/>
      <w:lvlText w:val="•"/>
      <w:lvlJc w:val="left"/>
      <w:pPr>
        <w:tabs>
          <w:tab w:val="num" w:pos="3600"/>
        </w:tabs>
        <w:ind w:left="3600" w:hanging="360"/>
      </w:pPr>
      <w:rPr>
        <w:rFonts w:ascii="Arial" w:hAnsi="Arial" w:hint="default"/>
      </w:rPr>
    </w:lvl>
    <w:lvl w:ilvl="5" w:tplc="A1523C68" w:tentative="1">
      <w:start w:val="1"/>
      <w:numFmt w:val="bullet"/>
      <w:lvlText w:val="•"/>
      <w:lvlJc w:val="left"/>
      <w:pPr>
        <w:tabs>
          <w:tab w:val="num" w:pos="4320"/>
        </w:tabs>
        <w:ind w:left="4320" w:hanging="360"/>
      </w:pPr>
      <w:rPr>
        <w:rFonts w:ascii="Arial" w:hAnsi="Arial" w:hint="default"/>
      </w:rPr>
    </w:lvl>
    <w:lvl w:ilvl="6" w:tplc="BB60DC2A" w:tentative="1">
      <w:start w:val="1"/>
      <w:numFmt w:val="bullet"/>
      <w:lvlText w:val="•"/>
      <w:lvlJc w:val="left"/>
      <w:pPr>
        <w:tabs>
          <w:tab w:val="num" w:pos="5040"/>
        </w:tabs>
        <w:ind w:left="5040" w:hanging="360"/>
      </w:pPr>
      <w:rPr>
        <w:rFonts w:ascii="Arial" w:hAnsi="Arial" w:hint="default"/>
      </w:rPr>
    </w:lvl>
    <w:lvl w:ilvl="7" w:tplc="CEF40D46" w:tentative="1">
      <w:start w:val="1"/>
      <w:numFmt w:val="bullet"/>
      <w:lvlText w:val="•"/>
      <w:lvlJc w:val="left"/>
      <w:pPr>
        <w:tabs>
          <w:tab w:val="num" w:pos="5760"/>
        </w:tabs>
        <w:ind w:left="5760" w:hanging="360"/>
      </w:pPr>
      <w:rPr>
        <w:rFonts w:ascii="Arial" w:hAnsi="Arial" w:hint="default"/>
      </w:rPr>
    </w:lvl>
    <w:lvl w:ilvl="8" w:tplc="8EEA0B5C" w:tentative="1">
      <w:start w:val="1"/>
      <w:numFmt w:val="bullet"/>
      <w:lvlText w:val="•"/>
      <w:lvlJc w:val="left"/>
      <w:pPr>
        <w:tabs>
          <w:tab w:val="num" w:pos="6480"/>
        </w:tabs>
        <w:ind w:left="6480" w:hanging="360"/>
      </w:pPr>
      <w:rPr>
        <w:rFonts w:ascii="Arial" w:hAnsi="Arial" w:hint="default"/>
      </w:rPr>
    </w:lvl>
  </w:abstractNum>
  <w:num w:numId="1">
    <w:abstractNumId w:val="24"/>
  </w:num>
  <w:num w:numId="2">
    <w:abstractNumId w:val="17"/>
  </w:num>
  <w:num w:numId="3">
    <w:abstractNumId w:val="15"/>
  </w:num>
  <w:num w:numId="4">
    <w:abstractNumId w:val="13"/>
  </w:num>
  <w:num w:numId="5">
    <w:abstractNumId w:val="8"/>
  </w:num>
  <w:num w:numId="6">
    <w:abstractNumId w:val="9"/>
  </w:num>
  <w:num w:numId="7">
    <w:abstractNumId w:val="27"/>
  </w:num>
  <w:num w:numId="8">
    <w:abstractNumId w:val="5"/>
  </w:num>
  <w:num w:numId="9">
    <w:abstractNumId w:val="14"/>
  </w:num>
  <w:num w:numId="10">
    <w:abstractNumId w:val="19"/>
  </w:num>
  <w:num w:numId="11">
    <w:abstractNumId w:val="26"/>
  </w:num>
  <w:num w:numId="12">
    <w:abstractNumId w:val="3"/>
  </w:num>
  <w:num w:numId="13">
    <w:abstractNumId w:val="12"/>
  </w:num>
  <w:num w:numId="14">
    <w:abstractNumId w:val="1"/>
  </w:num>
  <w:num w:numId="15">
    <w:abstractNumId w:val="11"/>
  </w:num>
  <w:num w:numId="16">
    <w:abstractNumId w:val="23"/>
  </w:num>
  <w:num w:numId="17">
    <w:abstractNumId w:val="2"/>
  </w:num>
  <w:num w:numId="18">
    <w:abstractNumId w:val="0"/>
  </w:num>
  <w:num w:numId="19">
    <w:abstractNumId w:val="29"/>
  </w:num>
  <w:num w:numId="20">
    <w:abstractNumId w:val="10"/>
  </w:num>
  <w:num w:numId="21">
    <w:abstractNumId w:val="28"/>
  </w:num>
  <w:num w:numId="22">
    <w:abstractNumId w:val="25"/>
  </w:num>
  <w:num w:numId="23">
    <w:abstractNumId w:val="7"/>
  </w:num>
  <w:num w:numId="24">
    <w:abstractNumId w:val="6"/>
  </w:num>
  <w:num w:numId="25">
    <w:abstractNumId w:val="22"/>
  </w:num>
  <w:num w:numId="26">
    <w:abstractNumId w:val="21"/>
  </w:num>
  <w:num w:numId="27">
    <w:abstractNumId w:val="4"/>
  </w:num>
  <w:num w:numId="28">
    <w:abstractNumId w:val="16"/>
  </w:num>
  <w:num w:numId="29">
    <w:abstractNumId w:val="20"/>
  </w:num>
  <w:num w:numId="3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5D73"/>
    <w:rsid w:val="000104C3"/>
    <w:rsid w:val="00017CF1"/>
    <w:rsid w:val="000239C3"/>
    <w:rsid w:val="00027CA6"/>
    <w:rsid w:val="00040AFD"/>
    <w:rsid w:val="0004544A"/>
    <w:rsid w:val="00065C18"/>
    <w:rsid w:val="000724E6"/>
    <w:rsid w:val="000744EB"/>
    <w:rsid w:val="000775DF"/>
    <w:rsid w:val="00092083"/>
    <w:rsid w:val="000A2B09"/>
    <w:rsid w:val="000A53B0"/>
    <w:rsid w:val="000A5772"/>
    <w:rsid w:val="000B6AA3"/>
    <w:rsid w:val="000D5F61"/>
    <w:rsid w:val="000E0C99"/>
    <w:rsid w:val="000E297C"/>
    <w:rsid w:val="000E4965"/>
    <w:rsid w:val="000E74AD"/>
    <w:rsid w:val="000F29F4"/>
    <w:rsid w:val="00101588"/>
    <w:rsid w:val="001204E6"/>
    <w:rsid w:val="00121335"/>
    <w:rsid w:val="00125229"/>
    <w:rsid w:val="001377D9"/>
    <w:rsid w:val="0014104C"/>
    <w:rsid w:val="00177AF7"/>
    <w:rsid w:val="00177E10"/>
    <w:rsid w:val="001829EF"/>
    <w:rsid w:val="00187B7F"/>
    <w:rsid w:val="001B5933"/>
    <w:rsid w:val="001D489E"/>
    <w:rsid w:val="001F6635"/>
    <w:rsid w:val="00205CDA"/>
    <w:rsid w:val="00216BEB"/>
    <w:rsid w:val="00233F2E"/>
    <w:rsid w:val="0023459F"/>
    <w:rsid w:val="00257288"/>
    <w:rsid w:val="00264877"/>
    <w:rsid w:val="00281ABF"/>
    <w:rsid w:val="00287222"/>
    <w:rsid w:val="00290BC4"/>
    <w:rsid w:val="002B0E87"/>
    <w:rsid w:val="002B5FCF"/>
    <w:rsid w:val="002E087A"/>
    <w:rsid w:val="002E451E"/>
    <w:rsid w:val="002E6900"/>
    <w:rsid w:val="002F0024"/>
    <w:rsid w:val="002F4E91"/>
    <w:rsid w:val="00303C73"/>
    <w:rsid w:val="00315978"/>
    <w:rsid w:val="00322F9D"/>
    <w:rsid w:val="00326AF7"/>
    <w:rsid w:val="00330C64"/>
    <w:rsid w:val="003538EC"/>
    <w:rsid w:val="003570B3"/>
    <w:rsid w:val="00364690"/>
    <w:rsid w:val="003704AC"/>
    <w:rsid w:val="00371512"/>
    <w:rsid w:val="003812A6"/>
    <w:rsid w:val="00391192"/>
    <w:rsid w:val="003A03B6"/>
    <w:rsid w:val="003A061D"/>
    <w:rsid w:val="003A20AB"/>
    <w:rsid w:val="003A2783"/>
    <w:rsid w:val="003B5D57"/>
    <w:rsid w:val="003C1DB6"/>
    <w:rsid w:val="003C4AB7"/>
    <w:rsid w:val="003F0A06"/>
    <w:rsid w:val="003F143B"/>
    <w:rsid w:val="0040280B"/>
    <w:rsid w:val="00420672"/>
    <w:rsid w:val="00432F97"/>
    <w:rsid w:val="0044145C"/>
    <w:rsid w:val="0044237A"/>
    <w:rsid w:val="00463347"/>
    <w:rsid w:val="00470E3D"/>
    <w:rsid w:val="00483D63"/>
    <w:rsid w:val="00485F84"/>
    <w:rsid w:val="00486C45"/>
    <w:rsid w:val="00492808"/>
    <w:rsid w:val="004A2DD0"/>
    <w:rsid w:val="004B18D4"/>
    <w:rsid w:val="004C0DE4"/>
    <w:rsid w:val="004D7523"/>
    <w:rsid w:val="00515382"/>
    <w:rsid w:val="00516141"/>
    <w:rsid w:val="00542111"/>
    <w:rsid w:val="00552EB6"/>
    <w:rsid w:val="005719FD"/>
    <w:rsid w:val="00571D04"/>
    <w:rsid w:val="0059141F"/>
    <w:rsid w:val="005A3B9F"/>
    <w:rsid w:val="005A5D5E"/>
    <w:rsid w:val="005A6CF3"/>
    <w:rsid w:val="005C78D5"/>
    <w:rsid w:val="005E7361"/>
    <w:rsid w:val="005F37EF"/>
    <w:rsid w:val="006232B6"/>
    <w:rsid w:val="0064534B"/>
    <w:rsid w:val="0065002B"/>
    <w:rsid w:val="0065064C"/>
    <w:rsid w:val="00666881"/>
    <w:rsid w:val="00667B08"/>
    <w:rsid w:val="00667C4F"/>
    <w:rsid w:val="006747EE"/>
    <w:rsid w:val="00675C83"/>
    <w:rsid w:val="007129AC"/>
    <w:rsid w:val="00720016"/>
    <w:rsid w:val="007207DA"/>
    <w:rsid w:val="0073466E"/>
    <w:rsid w:val="00791A7E"/>
    <w:rsid w:val="007B647A"/>
    <w:rsid w:val="007C12B3"/>
    <w:rsid w:val="007D65A9"/>
    <w:rsid w:val="00817C6E"/>
    <w:rsid w:val="008344D5"/>
    <w:rsid w:val="008671D4"/>
    <w:rsid w:val="00867A0A"/>
    <w:rsid w:val="00876C30"/>
    <w:rsid w:val="00877994"/>
    <w:rsid w:val="00890177"/>
    <w:rsid w:val="00890678"/>
    <w:rsid w:val="00892DB8"/>
    <w:rsid w:val="00894A7E"/>
    <w:rsid w:val="00895AB5"/>
    <w:rsid w:val="008A7358"/>
    <w:rsid w:val="008D5D73"/>
    <w:rsid w:val="008D7033"/>
    <w:rsid w:val="00905DE0"/>
    <w:rsid w:val="009349FC"/>
    <w:rsid w:val="00950B09"/>
    <w:rsid w:val="009617FF"/>
    <w:rsid w:val="009726FF"/>
    <w:rsid w:val="009C580B"/>
    <w:rsid w:val="009D00DF"/>
    <w:rsid w:val="00A132E6"/>
    <w:rsid w:val="00A15A0C"/>
    <w:rsid w:val="00A37C22"/>
    <w:rsid w:val="00A40131"/>
    <w:rsid w:val="00A571BA"/>
    <w:rsid w:val="00A618EA"/>
    <w:rsid w:val="00A761B5"/>
    <w:rsid w:val="00A953A7"/>
    <w:rsid w:val="00AB08E2"/>
    <w:rsid w:val="00AC3273"/>
    <w:rsid w:val="00AC3992"/>
    <w:rsid w:val="00AC69CB"/>
    <w:rsid w:val="00AE36C2"/>
    <w:rsid w:val="00AE7627"/>
    <w:rsid w:val="00AF0EE0"/>
    <w:rsid w:val="00B14927"/>
    <w:rsid w:val="00B21E27"/>
    <w:rsid w:val="00B5512E"/>
    <w:rsid w:val="00B704C1"/>
    <w:rsid w:val="00B72C87"/>
    <w:rsid w:val="00B94373"/>
    <w:rsid w:val="00BA6E23"/>
    <w:rsid w:val="00BB6760"/>
    <w:rsid w:val="00BC5CAF"/>
    <w:rsid w:val="00BD0E62"/>
    <w:rsid w:val="00BE5C9A"/>
    <w:rsid w:val="00C00C6B"/>
    <w:rsid w:val="00C06EDC"/>
    <w:rsid w:val="00C364CE"/>
    <w:rsid w:val="00C4774B"/>
    <w:rsid w:val="00C61D92"/>
    <w:rsid w:val="00C83D7E"/>
    <w:rsid w:val="00C85985"/>
    <w:rsid w:val="00C91050"/>
    <w:rsid w:val="00CC0220"/>
    <w:rsid w:val="00CC2C64"/>
    <w:rsid w:val="00D02185"/>
    <w:rsid w:val="00D10ADF"/>
    <w:rsid w:val="00D32DFD"/>
    <w:rsid w:val="00D33672"/>
    <w:rsid w:val="00D40187"/>
    <w:rsid w:val="00D47138"/>
    <w:rsid w:val="00D5298B"/>
    <w:rsid w:val="00D56B1C"/>
    <w:rsid w:val="00D57711"/>
    <w:rsid w:val="00D764C4"/>
    <w:rsid w:val="00D801ED"/>
    <w:rsid w:val="00D82146"/>
    <w:rsid w:val="00D82826"/>
    <w:rsid w:val="00D934A4"/>
    <w:rsid w:val="00DB2EE9"/>
    <w:rsid w:val="00DB61D7"/>
    <w:rsid w:val="00DC186A"/>
    <w:rsid w:val="00DC7CF9"/>
    <w:rsid w:val="00DD4BA9"/>
    <w:rsid w:val="00E239DD"/>
    <w:rsid w:val="00E541DC"/>
    <w:rsid w:val="00E672AF"/>
    <w:rsid w:val="00E8004A"/>
    <w:rsid w:val="00E83B77"/>
    <w:rsid w:val="00E906B6"/>
    <w:rsid w:val="00EA0AED"/>
    <w:rsid w:val="00EA7785"/>
    <w:rsid w:val="00EB098F"/>
    <w:rsid w:val="00EE1845"/>
    <w:rsid w:val="00EF3B8F"/>
    <w:rsid w:val="00F06953"/>
    <w:rsid w:val="00F113A0"/>
    <w:rsid w:val="00F215C0"/>
    <w:rsid w:val="00F375AE"/>
    <w:rsid w:val="00F83ABC"/>
    <w:rsid w:val="00F91BE2"/>
    <w:rsid w:val="00FA1EB9"/>
    <w:rsid w:val="00FC6E58"/>
    <w:rsid w:val="00FD14BA"/>
    <w:rsid w:val="00FD7A4D"/>
    <w:rsid w:val="00FE1C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4269252-ED73-40FC-B0FE-EAF68DB56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D73"/>
    <w:pPr>
      <w:spacing w:after="180" w:line="240" w:lineRule="auto"/>
    </w:pPr>
    <w:rPr>
      <w:rFonts w:ascii="Times New Roman" w:eastAsia="MS Mincho" w:hAnsi="Times New Roman" w:cs="Times New Roman"/>
      <w:sz w:val="20"/>
      <w:szCs w:val="20"/>
      <w:lang w:val="en-GB"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qFormat/>
    <w:rsid w:val="008D5D73"/>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eastAsia="en-US"/>
    </w:rPr>
  </w:style>
  <w:style w:type="paragraph" w:styleId="Heading2">
    <w:name w:val="heading 2"/>
    <w:basedOn w:val="Normal"/>
    <w:next w:val="Normal"/>
    <w:link w:val="Heading2Char"/>
    <w:unhideWhenUsed/>
    <w:qFormat/>
    <w:rsid w:val="00905DE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8D5D73"/>
    <w:pPr>
      <w:spacing w:after="120" w:line="240" w:lineRule="auto"/>
    </w:pPr>
    <w:rPr>
      <w:rFonts w:ascii="Arial" w:eastAsia="MS Mincho" w:hAnsi="Arial" w:cs="Times New Roman"/>
      <w:sz w:val="20"/>
      <w:szCs w:val="20"/>
      <w:lang w:val="en-GB"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8D5D73"/>
    <w:rPr>
      <w:rFonts w:ascii="Arial" w:eastAsia="Malgun Gothic" w:hAnsi="Arial" w:cs="Times New Roman"/>
      <w:sz w:val="36"/>
      <w:szCs w:val="20"/>
      <w:lang w:val="en-GB" w:eastAsia="en-US"/>
    </w:rPr>
  </w:style>
  <w:style w:type="paragraph" w:customStyle="1" w:styleId="Doc-text2">
    <w:name w:val="Doc-text2"/>
    <w:basedOn w:val="Normal"/>
    <w:link w:val="Doc-text2Char"/>
    <w:qFormat/>
    <w:rsid w:val="008D5D73"/>
    <w:pPr>
      <w:tabs>
        <w:tab w:val="left" w:pos="1622"/>
      </w:tabs>
      <w:spacing w:after="0"/>
      <w:ind w:left="1622" w:hanging="363"/>
    </w:pPr>
    <w:rPr>
      <w:rFonts w:ascii="Arial" w:hAnsi="Arial"/>
      <w:szCs w:val="24"/>
    </w:rPr>
  </w:style>
  <w:style w:type="character" w:customStyle="1" w:styleId="Doc-text2Char">
    <w:name w:val="Doc-text2 Char"/>
    <w:link w:val="Doc-text2"/>
    <w:rsid w:val="008D5D73"/>
    <w:rPr>
      <w:rFonts w:ascii="Arial" w:eastAsia="MS Mincho" w:hAnsi="Arial" w:cs="Times New Roman"/>
      <w:sz w:val="20"/>
      <w:szCs w:val="24"/>
      <w:lang w:val="en-GB" w:eastAsia="en-US"/>
    </w:rPr>
  </w:style>
  <w:style w:type="paragraph" w:customStyle="1" w:styleId="Comments">
    <w:name w:val="Comments"/>
    <w:basedOn w:val="Normal"/>
    <w:link w:val="CommentsChar"/>
    <w:qFormat/>
    <w:rsid w:val="001829EF"/>
    <w:pPr>
      <w:spacing w:before="40" w:after="0"/>
    </w:pPr>
    <w:rPr>
      <w:rFonts w:ascii="Arial" w:hAnsi="Arial"/>
      <w:i/>
      <w:noProof/>
      <w:sz w:val="18"/>
      <w:szCs w:val="24"/>
      <w:lang w:eastAsia="en-GB"/>
    </w:rPr>
  </w:style>
  <w:style w:type="character" w:customStyle="1" w:styleId="CommentsChar">
    <w:name w:val="Comments Char"/>
    <w:link w:val="Comments"/>
    <w:rsid w:val="001829EF"/>
    <w:rPr>
      <w:rFonts w:ascii="Arial" w:eastAsia="MS Mincho" w:hAnsi="Arial" w:cs="Times New Roman"/>
      <w:i/>
      <w:noProof/>
      <w:sz w:val="18"/>
      <w:szCs w:val="24"/>
      <w:lang w:val="en-GB" w:eastAsia="en-GB"/>
    </w:rPr>
  </w:style>
  <w:style w:type="character" w:customStyle="1" w:styleId="Heading2Char">
    <w:name w:val="Heading 2 Char"/>
    <w:basedOn w:val="DefaultParagraphFont"/>
    <w:link w:val="Heading2"/>
    <w:rsid w:val="00905DE0"/>
    <w:rPr>
      <w:rFonts w:asciiTheme="majorHAnsi" w:eastAsiaTheme="majorEastAsia" w:hAnsiTheme="majorHAnsi" w:cstheme="majorBidi"/>
      <w:color w:val="2E74B5" w:themeColor="accent1" w:themeShade="BF"/>
      <w:sz w:val="26"/>
      <w:szCs w:val="26"/>
      <w:lang w:val="en-GB" w:eastAsia="en-US"/>
    </w:rPr>
  </w:style>
  <w:style w:type="paragraph" w:styleId="ListParagraph">
    <w:name w:val="List Paragraph"/>
    <w:basedOn w:val="Normal"/>
    <w:link w:val="ListParagraphChar"/>
    <w:uiPriority w:val="34"/>
    <w:qFormat/>
    <w:rsid w:val="00E906B6"/>
    <w:pPr>
      <w:spacing w:after="160" w:line="259" w:lineRule="auto"/>
      <w:ind w:left="720"/>
      <w:contextualSpacing/>
    </w:pPr>
    <w:rPr>
      <w:rFonts w:asciiTheme="minorHAnsi" w:eastAsiaTheme="minorEastAsia" w:hAnsiTheme="minorHAnsi" w:cstheme="minorBidi"/>
      <w:sz w:val="22"/>
      <w:szCs w:val="22"/>
      <w:lang w:val="en-US" w:eastAsia="zh-CN"/>
    </w:rPr>
  </w:style>
  <w:style w:type="table" w:styleId="TableGrid">
    <w:name w:val="Table Grid"/>
    <w:basedOn w:val="TableNormal"/>
    <w:uiPriority w:val="39"/>
    <w:rsid w:val="003159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9C580B"/>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9C580B"/>
    <w:rPr>
      <w:rFonts w:ascii="Times New Roman" w:eastAsia="MS Mincho" w:hAnsi="Times New Roman" w:cs="Times New Roman"/>
      <w:sz w:val="20"/>
      <w:szCs w:val="20"/>
      <w:lang w:val="en-GB" w:eastAsia="en-US"/>
    </w:rPr>
  </w:style>
  <w:style w:type="paragraph" w:styleId="Footer">
    <w:name w:val="footer"/>
    <w:basedOn w:val="Normal"/>
    <w:link w:val="FooterChar"/>
    <w:uiPriority w:val="99"/>
    <w:unhideWhenUsed/>
    <w:rsid w:val="009C580B"/>
    <w:pPr>
      <w:tabs>
        <w:tab w:val="center" w:pos="4680"/>
        <w:tab w:val="right" w:pos="9360"/>
      </w:tabs>
      <w:spacing w:after="0"/>
    </w:pPr>
  </w:style>
  <w:style w:type="character" w:customStyle="1" w:styleId="FooterChar">
    <w:name w:val="Footer Char"/>
    <w:basedOn w:val="DefaultParagraphFont"/>
    <w:link w:val="Footer"/>
    <w:uiPriority w:val="99"/>
    <w:rsid w:val="009C580B"/>
    <w:rPr>
      <w:rFonts w:ascii="Times New Roman" w:eastAsia="MS Mincho" w:hAnsi="Times New Roman" w:cs="Times New Roman"/>
      <w:sz w:val="20"/>
      <w:szCs w:val="20"/>
      <w:lang w:val="en-GB" w:eastAsia="en-US"/>
    </w:rPr>
  </w:style>
  <w:style w:type="paragraph" w:customStyle="1" w:styleId="B1">
    <w:name w:val="B1"/>
    <w:basedOn w:val="List"/>
    <w:rsid w:val="00EF3B8F"/>
    <w:pPr>
      <w:ind w:left="568" w:hanging="284"/>
      <w:contextualSpacing w:val="0"/>
    </w:pPr>
    <w:rPr>
      <w:rFonts w:eastAsia="Times New Roman"/>
    </w:rPr>
  </w:style>
  <w:style w:type="paragraph" w:customStyle="1" w:styleId="B2">
    <w:name w:val="B2"/>
    <w:basedOn w:val="List2"/>
    <w:rsid w:val="00EF3B8F"/>
    <w:pPr>
      <w:ind w:left="851" w:hanging="284"/>
      <w:contextualSpacing w:val="0"/>
    </w:pPr>
    <w:rPr>
      <w:rFonts w:eastAsia="Times New Roman"/>
    </w:rPr>
  </w:style>
  <w:style w:type="paragraph" w:styleId="List">
    <w:name w:val="List"/>
    <w:basedOn w:val="Normal"/>
    <w:uiPriority w:val="99"/>
    <w:semiHidden/>
    <w:unhideWhenUsed/>
    <w:rsid w:val="00EF3B8F"/>
    <w:pPr>
      <w:ind w:left="360" w:hanging="360"/>
      <w:contextualSpacing/>
    </w:pPr>
  </w:style>
  <w:style w:type="paragraph" w:styleId="List2">
    <w:name w:val="List 2"/>
    <w:basedOn w:val="Normal"/>
    <w:uiPriority w:val="99"/>
    <w:semiHidden/>
    <w:unhideWhenUsed/>
    <w:rsid w:val="00EF3B8F"/>
    <w:pPr>
      <w:ind w:left="720" w:hanging="360"/>
      <w:contextualSpacing/>
    </w:pPr>
  </w:style>
  <w:style w:type="paragraph" w:customStyle="1" w:styleId="Style1">
    <w:name w:val="Style1"/>
    <w:basedOn w:val="Normal"/>
    <w:link w:val="Style1Char"/>
    <w:qFormat/>
    <w:rsid w:val="00FE1CF9"/>
    <w:pPr>
      <w:spacing w:after="120" w:line="288" w:lineRule="auto"/>
      <w:ind w:firstLine="360"/>
      <w:jc w:val="both"/>
    </w:pPr>
    <w:rPr>
      <w:rFonts w:eastAsia="Malgun Gothic" w:cs="Batang"/>
    </w:rPr>
  </w:style>
  <w:style w:type="character" w:customStyle="1" w:styleId="Style1Char">
    <w:name w:val="Style1 Char"/>
    <w:basedOn w:val="DefaultParagraphFont"/>
    <w:link w:val="Style1"/>
    <w:rsid w:val="00FE1CF9"/>
    <w:rPr>
      <w:rFonts w:ascii="Times New Roman" w:eastAsia="Malgun Gothic" w:hAnsi="Times New Roman" w:cs="Batang"/>
      <w:sz w:val="20"/>
      <w:szCs w:val="20"/>
      <w:lang w:val="en-GB" w:eastAsia="en-US"/>
    </w:rPr>
  </w:style>
  <w:style w:type="character" w:customStyle="1" w:styleId="ListParagraphChar">
    <w:name w:val="List Paragraph Char"/>
    <w:link w:val="ListParagraph"/>
    <w:uiPriority w:val="34"/>
    <w:locked/>
    <w:rsid w:val="000A53B0"/>
  </w:style>
  <w:style w:type="character" w:styleId="Hyperlink">
    <w:name w:val="Hyperlink"/>
    <w:uiPriority w:val="99"/>
    <w:rsid w:val="00326AF7"/>
    <w:rPr>
      <w:color w:val="0000FF"/>
      <w:u w:val="single"/>
    </w:rPr>
  </w:style>
  <w:style w:type="paragraph" w:styleId="BodyText">
    <w:name w:val="Body Text"/>
    <w:aliases w:val="bt"/>
    <w:basedOn w:val="Normal"/>
    <w:link w:val="BodyTextChar"/>
    <w:rsid w:val="00326AF7"/>
    <w:pPr>
      <w:spacing w:after="120"/>
      <w:jc w:val="both"/>
    </w:pPr>
    <w:rPr>
      <w:szCs w:val="24"/>
      <w:lang w:val="en-US"/>
    </w:rPr>
  </w:style>
  <w:style w:type="character" w:customStyle="1" w:styleId="BodyTextChar">
    <w:name w:val="Body Text Char"/>
    <w:aliases w:val="bt Char"/>
    <w:basedOn w:val="DefaultParagraphFont"/>
    <w:link w:val="BodyText"/>
    <w:rsid w:val="00326AF7"/>
    <w:rPr>
      <w:rFonts w:ascii="Times New Roman" w:eastAsia="MS Mincho" w:hAnsi="Times New Roman" w:cs="Times New Roman"/>
      <w:sz w:val="2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3596051">
      <w:bodyDiv w:val="1"/>
      <w:marLeft w:val="0"/>
      <w:marRight w:val="0"/>
      <w:marTop w:val="0"/>
      <w:marBottom w:val="0"/>
      <w:divBdr>
        <w:top w:val="none" w:sz="0" w:space="0" w:color="auto"/>
        <w:left w:val="none" w:sz="0" w:space="0" w:color="auto"/>
        <w:bottom w:val="none" w:sz="0" w:space="0" w:color="auto"/>
        <w:right w:val="none" w:sz="0" w:space="0" w:color="auto"/>
      </w:divBdr>
    </w:div>
    <w:div w:id="1527480289">
      <w:bodyDiv w:val="1"/>
      <w:marLeft w:val="0"/>
      <w:marRight w:val="0"/>
      <w:marTop w:val="0"/>
      <w:marBottom w:val="0"/>
      <w:divBdr>
        <w:top w:val="none" w:sz="0" w:space="0" w:color="auto"/>
        <w:left w:val="none" w:sz="0" w:space="0" w:color="auto"/>
        <w:bottom w:val="none" w:sz="0" w:space="0" w:color="auto"/>
        <w:right w:val="none" w:sz="0" w:space="0" w:color="auto"/>
      </w:divBdr>
    </w:div>
    <w:div w:id="1732192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5</Pages>
  <Words>1861</Words>
  <Characters>10613</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 Zhang (张园园)</dc:creator>
  <cp:keywords/>
  <dc:description/>
  <cp:lastModifiedBy>YuanY Zhang (张园园)</cp:lastModifiedBy>
  <cp:revision>5</cp:revision>
  <dcterms:created xsi:type="dcterms:W3CDTF">2017-08-11T04:25:00Z</dcterms:created>
  <dcterms:modified xsi:type="dcterms:W3CDTF">2017-08-11T08:52:00Z</dcterms:modified>
</cp:coreProperties>
</file>